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0131D" w14:textId="70D1DE78" w:rsidR="00562400" w:rsidRPr="00562400" w:rsidRDefault="00562400" w:rsidP="000B4ACE">
      <w:pPr>
        <w:tabs>
          <w:tab w:val="center" w:pos="4536"/>
          <w:tab w:val="right" w:pos="8280"/>
          <w:tab w:val="right" w:pos="9781"/>
        </w:tabs>
        <w:ind w:right="-58"/>
        <w:rPr>
          <w:rFonts w:ascii="Arial" w:eastAsia="MS Mincho" w:hAnsi="Arial" w:cs="Arial"/>
          <w:b/>
          <w:bCs/>
          <w:sz w:val="28"/>
          <w:lang w:eastAsia="ja-JP"/>
        </w:rPr>
      </w:pPr>
      <w:r w:rsidRPr="00562400">
        <w:rPr>
          <w:rFonts w:ascii="Arial" w:hAnsi="Arial" w:cs="Arial"/>
          <w:b/>
          <w:bCs/>
          <w:sz w:val="28"/>
        </w:rPr>
        <w:t>3GPP TSG RAN WG1 Meeting #</w:t>
      </w:r>
      <w:r w:rsidRPr="00562400">
        <w:rPr>
          <w:rFonts w:ascii="Arial" w:eastAsia="MS Mincho" w:hAnsi="Arial" w:cs="Arial"/>
          <w:b/>
          <w:bCs/>
          <w:sz w:val="28"/>
          <w:lang w:eastAsia="ja-JP"/>
        </w:rPr>
        <w:t>90</w:t>
      </w:r>
      <w:r w:rsidRPr="00562400">
        <w:rPr>
          <w:rFonts w:ascii="Arial" w:hAnsi="Arial" w:cs="Arial"/>
          <w:b/>
          <w:bCs/>
          <w:sz w:val="28"/>
        </w:rPr>
        <w:t xml:space="preserve">               </w:t>
      </w:r>
      <w:r w:rsidRPr="00562400">
        <w:rPr>
          <w:rFonts w:ascii="Arial" w:eastAsia="MS Mincho" w:hAnsi="Arial" w:cs="Arial"/>
          <w:b/>
          <w:bCs/>
          <w:sz w:val="28"/>
          <w:lang w:eastAsia="ja-JP"/>
        </w:rPr>
        <w:t xml:space="preserve">                            </w:t>
      </w:r>
      <w:r w:rsidRPr="00562400">
        <w:rPr>
          <w:rFonts w:ascii="Arial" w:hAnsi="Arial" w:cs="Arial"/>
          <w:b/>
          <w:bCs/>
          <w:sz w:val="28"/>
        </w:rPr>
        <w:tab/>
      </w:r>
      <w:r w:rsidR="000B4ACE" w:rsidRPr="000B4ACE">
        <w:rPr>
          <w:rFonts w:ascii="Arial" w:hAnsi="Arial" w:cs="Arial"/>
          <w:b/>
          <w:bCs/>
          <w:sz w:val="28"/>
        </w:rPr>
        <w:t>R1-1712764</w:t>
      </w:r>
      <w:r w:rsidRPr="00562400">
        <w:rPr>
          <w:rFonts w:ascii="Arial" w:eastAsia="MS Mincho" w:hAnsi="Arial" w:cs="Arial"/>
          <w:b/>
          <w:bCs/>
          <w:sz w:val="28"/>
          <w:lang w:eastAsia="ja-JP"/>
        </w:rPr>
        <w:t>Prague</w:t>
      </w:r>
      <w:r w:rsidRPr="00562400">
        <w:rPr>
          <w:rFonts w:ascii="Arial" w:hAnsi="Arial" w:cs="Arial"/>
          <w:b/>
          <w:bCs/>
          <w:sz w:val="28"/>
        </w:rPr>
        <w:t xml:space="preserve">, </w:t>
      </w:r>
      <w:proofErr w:type="spellStart"/>
      <w:r w:rsidRPr="00562400">
        <w:rPr>
          <w:rFonts w:ascii="Arial" w:eastAsia="MS Mincho" w:hAnsi="Arial" w:cs="Arial"/>
          <w:b/>
          <w:bCs/>
          <w:sz w:val="28"/>
          <w:lang w:eastAsia="ja-JP"/>
        </w:rPr>
        <w:t>Czechia</w:t>
      </w:r>
      <w:proofErr w:type="spellEnd"/>
      <w:r w:rsidRPr="00562400">
        <w:rPr>
          <w:rFonts w:ascii="Arial" w:eastAsia="MS Mincho" w:hAnsi="Arial" w:cs="Arial"/>
          <w:b/>
          <w:bCs/>
          <w:sz w:val="28"/>
          <w:lang w:eastAsia="ja-JP"/>
        </w:rPr>
        <w:t>,</w:t>
      </w:r>
      <w:r w:rsidRPr="00562400">
        <w:rPr>
          <w:rFonts w:ascii="Arial" w:hAnsi="Arial" w:cs="Arial"/>
          <w:b/>
          <w:bCs/>
          <w:sz w:val="28"/>
        </w:rPr>
        <w:t xml:space="preserve"> </w:t>
      </w:r>
      <w:r w:rsidRPr="00562400">
        <w:rPr>
          <w:rFonts w:ascii="Arial" w:eastAsia="MS Mincho" w:hAnsi="Arial" w:cs="Arial"/>
          <w:b/>
          <w:bCs/>
          <w:sz w:val="28"/>
          <w:lang w:eastAsia="ja-JP"/>
        </w:rPr>
        <w:t xml:space="preserve">21th </w:t>
      </w:r>
      <w:r w:rsidRPr="00562400">
        <w:rPr>
          <w:rFonts w:ascii="Arial" w:hAnsi="Arial" w:cs="Arial"/>
          <w:b/>
          <w:bCs/>
          <w:sz w:val="28"/>
        </w:rPr>
        <w:t xml:space="preserve">– </w:t>
      </w:r>
      <w:r w:rsidRPr="00562400">
        <w:rPr>
          <w:rFonts w:ascii="Arial" w:eastAsia="MS Mincho" w:hAnsi="Arial" w:cs="Arial"/>
          <w:b/>
          <w:bCs/>
          <w:sz w:val="28"/>
          <w:lang w:eastAsia="ja-JP"/>
        </w:rPr>
        <w:t>25th</w:t>
      </w:r>
      <w:r w:rsidRPr="00562400">
        <w:rPr>
          <w:rFonts w:ascii="Arial" w:hAnsi="Arial" w:cs="Arial"/>
          <w:b/>
          <w:bCs/>
          <w:sz w:val="28"/>
        </w:rPr>
        <w:t xml:space="preserve"> </w:t>
      </w:r>
      <w:r w:rsidRPr="00562400">
        <w:rPr>
          <w:rFonts w:ascii="Arial" w:eastAsia="MS Mincho" w:hAnsi="Arial" w:cs="Arial"/>
          <w:b/>
          <w:bCs/>
          <w:sz w:val="28"/>
          <w:lang w:eastAsia="ja-JP"/>
        </w:rPr>
        <w:t>August</w:t>
      </w:r>
      <w:r w:rsidRPr="00562400">
        <w:rPr>
          <w:rFonts w:ascii="Arial" w:hAnsi="Arial" w:cs="Arial"/>
          <w:b/>
          <w:bCs/>
          <w:sz w:val="28"/>
        </w:rPr>
        <w:t xml:space="preserve"> 201</w:t>
      </w:r>
      <w:r w:rsidRPr="00562400">
        <w:rPr>
          <w:rFonts w:ascii="Arial" w:eastAsia="MS Mincho" w:hAnsi="Arial" w:cs="Arial"/>
          <w:b/>
          <w:bCs/>
          <w:sz w:val="28"/>
          <w:lang w:eastAsia="ja-JP"/>
        </w:rPr>
        <w:t>7</w:t>
      </w:r>
    </w:p>
    <w:p w14:paraId="2DD42AB3" w14:textId="77777777" w:rsidR="005223FF" w:rsidRPr="00562400" w:rsidRDefault="005223FF" w:rsidP="005223FF">
      <w:pPr>
        <w:wordWrap/>
        <w:overflowPunct w:val="0"/>
        <w:adjustRightInd w:val="0"/>
        <w:textAlignment w:val="baseline"/>
        <w:rPr>
          <w:rFonts w:ascii="Times New Roman" w:eastAsia="Calibri"/>
          <w:b/>
          <w:i/>
          <w:kern w:val="0"/>
          <w:sz w:val="18"/>
          <w:szCs w:val="20"/>
          <w:lang w:eastAsia="en-US"/>
        </w:rPr>
      </w:pPr>
    </w:p>
    <w:p w14:paraId="3F76E0DB" w14:textId="30725009" w:rsidR="005223FF" w:rsidRPr="00562400"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62400">
        <w:rPr>
          <w:rFonts w:ascii="Arial" w:eastAsia="Calibri" w:hAnsi="Arial" w:cs="Arial"/>
          <w:b/>
          <w:kern w:val="0"/>
          <w:sz w:val="24"/>
          <w:szCs w:val="20"/>
          <w:lang w:eastAsia="en-US"/>
        </w:rPr>
        <w:t>Agenda item:</w:t>
      </w:r>
      <w:r w:rsidRPr="00562400">
        <w:rPr>
          <w:rFonts w:ascii="Arial" w:eastAsia="Calibri" w:hAnsi="Arial" w:cs="Arial"/>
          <w:kern w:val="0"/>
          <w:sz w:val="24"/>
          <w:szCs w:val="20"/>
          <w:lang w:eastAsia="en-US"/>
        </w:rPr>
        <w:tab/>
      </w:r>
      <w:bookmarkStart w:id="0" w:name="Source"/>
      <w:bookmarkEnd w:id="0"/>
      <w:r w:rsidR="000B4ACE">
        <w:rPr>
          <w:rFonts w:ascii="Arial" w:eastAsia="Calibri" w:hAnsi="Arial" w:cs="Arial"/>
          <w:kern w:val="0"/>
          <w:sz w:val="24"/>
          <w:szCs w:val="20"/>
          <w:lang w:eastAsia="en-US"/>
        </w:rPr>
        <w:t>5.1.1</w:t>
      </w:r>
      <w:bookmarkStart w:id="1" w:name="_GoBack"/>
      <w:bookmarkEnd w:id="1"/>
    </w:p>
    <w:p w14:paraId="4E9D0481" w14:textId="77777777" w:rsidR="005223FF" w:rsidRPr="00562400"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62400">
        <w:rPr>
          <w:rFonts w:ascii="Arial" w:eastAsia="Calibri" w:hAnsi="Arial" w:cs="Arial"/>
          <w:b/>
          <w:kern w:val="0"/>
          <w:sz w:val="24"/>
          <w:szCs w:val="20"/>
          <w:lang w:eastAsia="en-US"/>
        </w:rPr>
        <w:t xml:space="preserve">Source: </w:t>
      </w:r>
      <w:r w:rsidRPr="00562400">
        <w:rPr>
          <w:rFonts w:ascii="Arial" w:eastAsia="Calibri" w:hAnsi="Arial" w:cs="Arial"/>
          <w:b/>
          <w:kern w:val="0"/>
          <w:sz w:val="24"/>
          <w:szCs w:val="20"/>
          <w:lang w:eastAsia="en-US"/>
        </w:rPr>
        <w:tab/>
      </w:r>
      <w:r w:rsidRPr="00562400">
        <w:rPr>
          <w:rFonts w:ascii="Arial" w:eastAsia="Calibri" w:hAnsi="Arial" w:cs="Arial"/>
          <w:kern w:val="0"/>
          <w:sz w:val="24"/>
          <w:szCs w:val="20"/>
          <w:lang w:eastAsia="en-US"/>
        </w:rPr>
        <w:t>Qualcomm Incorporated</w:t>
      </w:r>
    </w:p>
    <w:p w14:paraId="78C2A59F" w14:textId="67653E43" w:rsidR="005223FF" w:rsidRPr="00562400" w:rsidRDefault="005223FF" w:rsidP="005223FF">
      <w:pPr>
        <w:widowControl/>
        <w:wordWrap/>
        <w:overflowPunct w:val="0"/>
        <w:adjustRightInd w:val="0"/>
        <w:spacing w:after="180"/>
        <w:ind w:left="1988" w:hanging="1988"/>
        <w:jc w:val="left"/>
        <w:textAlignment w:val="baseline"/>
        <w:rPr>
          <w:rFonts w:ascii="Arial" w:eastAsia="Calibri" w:hAnsi="Arial" w:cs="Arial"/>
          <w:kern w:val="0"/>
          <w:sz w:val="28"/>
          <w:lang w:eastAsia="en-US"/>
        </w:rPr>
      </w:pPr>
      <w:r w:rsidRPr="00562400">
        <w:rPr>
          <w:rFonts w:ascii="Arial" w:eastAsia="Calibri" w:hAnsi="Arial" w:cs="Arial"/>
          <w:b/>
          <w:kern w:val="0"/>
          <w:sz w:val="24"/>
          <w:szCs w:val="20"/>
          <w:lang w:eastAsia="en-US"/>
        </w:rPr>
        <w:t>Title:</w:t>
      </w:r>
      <w:r w:rsidRPr="00562400">
        <w:rPr>
          <w:rFonts w:ascii="Arial" w:eastAsia="Calibri" w:hAnsi="Arial" w:cs="Arial"/>
          <w:kern w:val="0"/>
          <w:sz w:val="24"/>
          <w:szCs w:val="20"/>
          <w:lang w:eastAsia="en-US"/>
        </w:rPr>
        <w:t xml:space="preserve"> </w:t>
      </w:r>
      <w:r w:rsidRPr="00562400">
        <w:rPr>
          <w:rFonts w:ascii="Arial" w:eastAsia="Calibri" w:hAnsi="Arial" w:cs="Arial"/>
          <w:kern w:val="0"/>
          <w:sz w:val="22"/>
          <w:szCs w:val="20"/>
          <w:lang w:eastAsia="en-US"/>
        </w:rPr>
        <w:tab/>
      </w:r>
      <w:r w:rsidR="00F6178A" w:rsidRPr="00F6178A">
        <w:rPr>
          <w:rFonts w:ascii="Arial" w:eastAsia="Calibri" w:hAnsi="Arial" w:cs="Arial"/>
          <w:kern w:val="0"/>
          <w:sz w:val="24"/>
          <w:szCs w:val="20"/>
          <w:lang w:eastAsia="en-US"/>
        </w:rPr>
        <w:t xml:space="preserve">Discussion on simultaneous PUSCH and SRS transmission for </w:t>
      </w:r>
      <w:proofErr w:type="spellStart"/>
      <w:r w:rsidR="00F6178A" w:rsidRPr="00F6178A">
        <w:rPr>
          <w:rFonts w:ascii="Arial" w:eastAsia="Calibri" w:hAnsi="Arial" w:cs="Arial"/>
          <w:kern w:val="0"/>
          <w:sz w:val="24"/>
          <w:szCs w:val="20"/>
          <w:lang w:eastAsia="en-US"/>
        </w:rPr>
        <w:t>intraband</w:t>
      </w:r>
      <w:proofErr w:type="spellEnd"/>
      <w:r w:rsidR="00F6178A" w:rsidRPr="00F6178A">
        <w:rPr>
          <w:rFonts w:ascii="Arial" w:eastAsia="Calibri" w:hAnsi="Arial" w:cs="Arial"/>
          <w:kern w:val="0"/>
          <w:sz w:val="24"/>
          <w:szCs w:val="20"/>
          <w:lang w:eastAsia="en-US"/>
        </w:rPr>
        <w:t xml:space="preserve"> UL CA</w:t>
      </w:r>
    </w:p>
    <w:p w14:paraId="5E58C004" w14:textId="77777777" w:rsidR="005223FF" w:rsidRPr="00562400" w:rsidRDefault="005223FF" w:rsidP="005223FF">
      <w:pPr>
        <w:widowControl/>
        <w:wordWrap/>
        <w:overflowPunct w:val="0"/>
        <w:adjustRightInd w:val="0"/>
        <w:spacing w:after="180"/>
        <w:ind w:left="1988" w:hanging="1988"/>
        <w:textAlignment w:val="baseline"/>
        <w:rPr>
          <w:rFonts w:ascii="Arial" w:eastAsia="Calibri" w:hAnsi="Arial" w:cs="Arial"/>
          <w:kern w:val="0"/>
          <w:sz w:val="24"/>
          <w:szCs w:val="20"/>
          <w:lang w:eastAsia="en-US"/>
        </w:rPr>
      </w:pPr>
      <w:r w:rsidRPr="00562400">
        <w:rPr>
          <w:rFonts w:ascii="Arial" w:eastAsia="Calibri" w:hAnsi="Arial" w:cs="Arial"/>
          <w:b/>
          <w:kern w:val="0"/>
          <w:sz w:val="24"/>
          <w:szCs w:val="20"/>
          <w:lang w:eastAsia="en-US"/>
        </w:rPr>
        <w:t>Document for:</w:t>
      </w:r>
      <w:r w:rsidRPr="00562400">
        <w:rPr>
          <w:rFonts w:ascii="Arial" w:eastAsia="Calibri" w:hAnsi="Arial" w:cs="Arial"/>
          <w:kern w:val="0"/>
          <w:sz w:val="24"/>
          <w:szCs w:val="20"/>
          <w:lang w:eastAsia="en-US"/>
        </w:rPr>
        <w:tab/>
      </w:r>
      <w:bookmarkStart w:id="2" w:name="DocumentFor"/>
      <w:bookmarkEnd w:id="2"/>
      <w:r w:rsidRPr="00562400">
        <w:rPr>
          <w:rFonts w:ascii="Arial" w:eastAsia="Calibri" w:hAnsi="Arial" w:cs="Arial"/>
          <w:kern w:val="0"/>
          <w:sz w:val="24"/>
          <w:szCs w:val="20"/>
          <w:lang w:eastAsia="en-US"/>
        </w:rPr>
        <w:t>Discussion/Decision</w:t>
      </w:r>
    </w:p>
    <w:p w14:paraId="26F4A535" w14:textId="77777777" w:rsidR="005223FF" w:rsidRPr="00562400" w:rsidRDefault="005223FF" w:rsidP="005223FF"/>
    <w:p w14:paraId="11D71509" w14:textId="3589B45E" w:rsidR="005223FF" w:rsidRDefault="00F6178A" w:rsidP="005223FF">
      <w:pPr>
        <w:pStyle w:val="Heading1"/>
        <w:rPr>
          <w:lang w:val="en-US"/>
        </w:rPr>
      </w:pPr>
      <w:r>
        <w:rPr>
          <w:lang w:val="en-US"/>
        </w:rPr>
        <w:t>Background</w:t>
      </w:r>
    </w:p>
    <w:p w14:paraId="7ED95901" w14:textId="658806AE" w:rsidR="00F6178A" w:rsidRDefault="00F6178A" w:rsidP="00F6178A">
      <w:pPr>
        <w:rPr>
          <w:lang w:eastAsia="en-US"/>
        </w:rPr>
      </w:pPr>
    </w:p>
    <w:p w14:paraId="2E7B9142" w14:textId="12FC7CF2" w:rsidR="004245FA" w:rsidRDefault="00F6178A" w:rsidP="00562400">
      <w:pPr>
        <w:rPr>
          <w:rFonts w:ascii="Times New Roman"/>
          <w:sz w:val="22"/>
          <w:szCs w:val="22"/>
        </w:rPr>
      </w:pPr>
      <w:r>
        <w:rPr>
          <w:rFonts w:ascii="Times New Roman"/>
          <w:sz w:val="22"/>
          <w:szCs w:val="22"/>
        </w:rPr>
        <w:t>With the introduction of UL CA in Rel-10, collision handling rules between PUSCH and SRS in different CCs were adopted. The original intention was to disallow concurrent transmission of PUSCH/PUCCH and SRS in different serving cells. The following statements can be found in TS 36.213 v10.13.0, Clause 8.2:</w:t>
      </w:r>
    </w:p>
    <w:p w14:paraId="7B5214B2" w14:textId="2D15831C" w:rsidR="00F6178A" w:rsidRDefault="00F6178A" w:rsidP="00562400">
      <w:pPr>
        <w:rPr>
          <w:rFonts w:ascii="Times New Roman"/>
          <w:sz w:val="22"/>
          <w:szCs w:val="22"/>
        </w:rPr>
      </w:pPr>
    </w:p>
    <w:p w14:paraId="5008FE3D" w14:textId="77777777" w:rsidR="00F6178A" w:rsidRPr="00F6178A" w:rsidRDefault="00F6178A" w:rsidP="00F6178A">
      <w:pPr>
        <w:widowControl/>
        <w:wordWrap/>
        <w:overflowPunct w:val="0"/>
        <w:adjustRightInd w:val="0"/>
        <w:spacing w:after="180"/>
        <w:ind w:left="800"/>
        <w:jc w:val="left"/>
        <w:rPr>
          <w:rFonts w:ascii="Times New Roman" w:eastAsia="Times New Roman"/>
          <w:kern w:val="0"/>
          <w:sz w:val="18"/>
          <w:szCs w:val="20"/>
          <w:lang w:val="en-GB" w:eastAsia="en-GB"/>
        </w:rPr>
      </w:pPr>
      <w:r w:rsidRPr="00F6178A">
        <w:rPr>
          <w:rFonts w:ascii="Times New Roman" w:eastAsia="Times New Roman"/>
          <w:kern w:val="0"/>
          <w:sz w:val="18"/>
          <w:szCs w:val="20"/>
          <w:lang w:val="en-GB" w:eastAsia="en-GB"/>
        </w:rPr>
        <w:t xml:space="preserve">A UE shall not transmit SRS whenever SRS transmission and PUCCH transmission carrying HARQ-ACK and/or positive SR happen to coincide in the same </w:t>
      </w:r>
      <w:proofErr w:type="spellStart"/>
      <w:r w:rsidRPr="00F6178A">
        <w:rPr>
          <w:rFonts w:ascii="Times New Roman" w:eastAsia="Times New Roman"/>
          <w:kern w:val="0"/>
          <w:sz w:val="18"/>
          <w:szCs w:val="20"/>
          <w:lang w:val="en-GB" w:eastAsia="en-GB"/>
        </w:rPr>
        <w:t>subframe</w:t>
      </w:r>
      <w:proofErr w:type="spellEnd"/>
      <w:r w:rsidRPr="00F6178A">
        <w:rPr>
          <w:rFonts w:ascii="Times New Roman" w:eastAsia="Times New Roman"/>
          <w:kern w:val="0"/>
          <w:sz w:val="18"/>
          <w:szCs w:val="20"/>
          <w:lang w:val="en-GB" w:eastAsia="en-GB"/>
        </w:rPr>
        <w:t xml:space="preserve"> if the parameter </w:t>
      </w:r>
      <w:proofErr w:type="spellStart"/>
      <w:r w:rsidRPr="00F6178A">
        <w:rPr>
          <w:rFonts w:ascii="Times New Roman" w:eastAsia="Times New Roman"/>
          <w:i/>
          <w:kern w:val="0"/>
          <w:sz w:val="18"/>
          <w:szCs w:val="19"/>
          <w:lang w:val="en-GB" w:eastAsia="en-GB"/>
        </w:rPr>
        <w:t>ackNackSRS-SimultaneousTransmission</w:t>
      </w:r>
      <w:proofErr w:type="spellEnd"/>
      <w:r w:rsidRPr="00F6178A">
        <w:rPr>
          <w:rFonts w:ascii="Times New Roman" w:eastAsia="Times New Roman"/>
          <w:kern w:val="0"/>
          <w:sz w:val="18"/>
          <w:szCs w:val="19"/>
          <w:lang w:val="en-GB" w:eastAsia="en-GB"/>
        </w:rPr>
        <w:t xml:space="preserve"> </w:t>
      </w:r>
      <w:r w:rsidRPr="00F6178A">
        <w:rPr>
          <w:rFonts w:ascii="Times New Roman" w:eastAsia="Times New Roman"/>
          <w:kern w:val="0"/>
          <w:sz w:val="18"/>
          <w:szCs w:val="20"/>
          <w:lang w:val="en-GB" w:eastAsia="en-GB"/>
        </w:rPr>
        <w:t xml:space="preserve">is </w:t>
      </w:r>
      <w:r w:rsidRPr="00F6178A">
        <w:rPr>
          <w:rFonts w:ascii="Times New Roman" w:eastAsia="Times New Roman"/>
          <w:i/>
          <w:kern w:val="0"/>
          <w:sz w:val="18"/>
          <w:szCs w:val="20"/>
          <w:lang w:val="en-GB" w:eastAsia="en-GB"/>
        </w:rPr>
        <w:t>FALSE</w:t>
      </w:r>
      <w:r w:rsidRPr="00F6178A">
        <w:rPr>
          <w:rFonts w:ascii="Times New Roman" w:eastAsia="Times New Roman"/>
          <w:kern w:val="0"/>
          <w:sz w:val="18"/>
          <w:szCs w:val="20"/>
          <w:lang w:val="en-GB" w:eastAsia="en-GB"/>
        </w:rPr>
        <w:t xml:space="preserve">. A UE shall transmit SRS whenever SRS transmission and PUCCH transmission carrying HARQ-ACK and/or positive SR </w:t>
      </w:r>
      <w:r w:rsidRPr="00F6178A">
        <w:rPr>
          <w:rFonts w:ascii="Times New Roman" w:eastAsia="Malgun Gothic"/>
          <w:kern w:val="0"/>
          <w:sz w:val="18"/>
          <w:szCs w:val="20"/>
          <w:lang w:val="en-GB" w:eastAsia="en-GB"/>
        </w:rPr>
        <w:t xml:space="preserve">using shortened format </w:t>
      </w:r>
      <w:r w:rsidRPr="00F6178A">
        <w:rPr>
          <w:rFonts w:ascii="Times New Roman" w:eastAsia="Times New Roman"/>
          <w:kern w:val="0"/>
          <w:sz w:val="18"/>
          <w:szCs w:val="20"/>
          <w:lang w:eastAsia="en-GB"/>
        </w:rPr>
        <w:t xml:space="preserve">as defined in </w:t>
      </w:r>
      <w:proofErr w:type="spellStart"/>
      <w:r w:rsidRPr="00F6178A">
        <w:rPr>
          <w:rFonts w:ascii="Times New Roman" w:eastAsia="Times New Roman"/>
          <w:kern w:val="0"/>
          <w:sz w:val="18"/>
          <w:szCs w:val="20"/>
          <w:lang w:eastAsia="en-GB"/>
        </w:rPr>
        <w:t>subclause</w:t>
      </w:r>
      <w:r w:rsidRPr="00F6178A">
        <w:rPr>
          <w:rFonts w:ascii="Times New Roman" w:eastAsia="Malgun Gothic"/>
          <w:kern w:val="0"/>
          <w:sz w:val="18"/>
          <w:szCs w:val="20"/>
          <w:lang w:eastAsia="en-GB"/>
        </w:rPr>
        <w:t>s</w:t>
      </w:r>
      <w:proofErr w:type="spellEnd"/>
      <w:r w:rsidRPr="00F6178A">
        <w:rPr>
          <w:rFonts w:ascii="Times New Roman" w:eastAsia="Times New Roman"/>
          <w:kern w:val="0"/>
          <w:sz w:val="18"/>
          <w:szCs w:val="20"/>
          <w:lang w:eastAsia="en-GB"/>
        </w:rPr>
        <w:t xml:space="preserve"> 5.4.1 </w:t>
      </w:r>
      <w:r w:rsidRPr="00F6178A">
        <w:rPr>
          <w:rFonts w:ascii="Times New Roman" w:eastAsia="Malgun Gothic"/>
          <w:kern w:val="0"/>
          <w:sz w:val="18"/>
          <w:szCs w:val="20"/>
          <w:lang w:eastAsia="en-GB"/>
        </w:rPr>
        <w:t xml:space="preserve">and 5.4.2A </w:t>
      </w:r>
      <w:r w:rsidRPr="00F6178A">
        <w:rPr>
          <w:rFonts w:ascii="Times New Roman" w:eastAsia="Times New Roman"/>
          <w:kern w:val="0"/>
          <w:sz w:val="18"/>
          <w:szCs w:val="20"/>
          <w:lang w:eastAsia="en-GB"/>
        </w:rPr>
        <w:t>of [3]</w:t>
      </w:r>
      <w:r w:rsidRPr="00F6178A">
        <w:rPr>
          <w:rFonts w:ascii="Times New Roman" w:eastAsia="Malgun Gothic"/>
          <w:kern w:val="0"/>
          <w:sz w:val="18"/>
          <w:szCs w:val="20"/>
          <w:lang w:val="en-GB" w:eastAsia="en-GB"/>
        </w:rPr>
        <w:t xml:space="preserve"> </w:t>
      </w:r>
      <w:r w:rsidRPr="00F6178A">
        <w:rPr>
          <w:rFonts w:ascii="Times New Roman" w:eastAsia="Times New Roman"/>
          <w:kern w:val="0"/>
          <w:sz w:val="18"/>
          <w:szCs w:val="20"/>
          <w:lang w:val="en-GB" w:eastAsia="en-GB"/>
        </w:rPr>
        <w:t xml:space="preserve">happen to coincide in the same </w:t>
      </w:r>
      <w:proofErr w:type="spellStart"/>
      <w:r w:rsidRPr="00F6178A">
        <w:rPr>
          <w:rFonts w:ascii="Times New Roman" w:eastAsia="Times New Roman"/>
          <w:kern w:val="0"/>
          <w:sz w:val="18"/>
          <w:szCs w:val="20"/>
          <w:lang w:val="en-GB" w:eastAsia="en-GB"/>
        </w:rPr>
        <w:t>subframe</w:t>
      </w:r>
      <w:proofErr w:type="spellEnd"/>
      <w:r w:rsidRPr="00F6178A">
        <w:rPr>
          <w:rFonts w:ascii="Times New Roman" w:eastAsia="Times New Roman"/>
          <w:kern w:val="0"/>
          <w:sz w:val="18"/>
          <w:szCs w:val="20"/>
          <w:lang w:val="en-GB" w:eastAsia="en-GB"/>
        </w:rPr>
        <w:t xml:space="preserve"> if the parameter </w:t>
      </w:r>
      <w:proofErr w:type="spellStart"/>
      <w:r w:rsidRPr="00F6178A">
        <w:rPr>
          <w:rFonts w:ascii="Times New Roman" w:eastAsia="Times New Roman"/>
          <w:i/>
          <w:kern w:val="0"/>
          <w:sz w:val="18"/>
          <w:szCs w:val="19"/>
          <w:lang w:val="en-GB" w:eastAsia="en-GB"/>
        </w:rPr>
        <w:t>ackNackSRS-SimultaneousTransmission</w:t>
      </w:r>
      <w:proofErr w:type="spellEnd"/>
      <w:r w:rsidRPr="00F6178A">
        <w:rPr>
          <w:rFonts w:ascii="Times New Roman" w:eastAsia="Times New Roman"/>
          <w:kern w:val="0"/>
          <w:sz w:val="18"/>
          <w:szCs w:val="19"/>
          <w:lang w:val="en-GB" w:eastAsia="en-GB"/>
        </w:rPr>
        <w:t xml:space="preserve"> </w:t>
      </w:r>
      <w:r w:rsidRPr="00F6178A">
        <w:rPr>
          <w:rFonts w:ascii="Times New Roman" w:eastAsia="Times New Roman"/>
          <w:kern w:val="0"/>
          <w:sz w:val="18"/>
          <w:szCs w:val="20"/>
          <w:lang w:val="en-GB" w:eastAsia="en-GB"/>
        </w:rPr>
        <w:t xml:space="preserve">is </w:t>
      </w:r>
      <w:r w:rsidRPr="00F6178A">
        <w:rPr>
          <w:rFonts w:ascii="Times New Roman" w:eastAsia="Times New Roman"/>
          <w:i/>
          <w:kern w:val="0"/>
          <w:sz w:val="18"/>
          <w:szCs w:val="20"/>
          <w:lang w:val="en-GB" w:eastAsia="en-GB"/>
        </w:rPr>
        <w:t>TRUE</w:t>
      </w:r>
      <w:r w:rsidRPr="00F6178A">
        <w:rPr>
          <w:rFonts w:ascii="Times New Roman" w:eastAsia="Times New Roman"/>
          <w:kern w:val="0"/>
          <w:sz w:val="18"/>
          <w:szCs w:val="20"/>
          <w:lang w:val="en-GB" w:eastAsia="en-GB"/>
        </w:rPr>
        <w:t>.</w:t>
      </w:r>
    </w:p>
    <w:p w14:paraId="040E3B63" w14:textId="2D317CB3" w:rsidR="00F6178A" w:rsidRPr="00F6178A" w:rsidRDefault="00F6178A" w:rsidP="00F6178A">
      <w:pPr>
        <w:widowControl/>
        <w:wordWrap/>
        <w:overflowPunct w:val="0"/>
        <w:adjustRightInd w:val="0"/>
        <w:spacing w:after="180"/>
        <w:ind w:left="800"/>
        <w:jc w:val="left"/>
        <w:rPr>
          <w:rFonts w:ascii="Times New Roman" w:eastAsia="Malgun Gothic"/>
          <w:kern w:val="0"/>
          <w:sz w:val="18"/>
          <w:szCs w:val="20"/>
          <w:lang w:val="en-GB" w:eastAsia="en-GB"/>
        </w:rPr>
      </w:pPr>
      <w:r w:rsidRPr="00F6178A">
        <w:rPr>
          <w:rFonts w:ascii="Times New Roman" w:eastAsia="Times New Roman"/>
          <w:kern w:val="0"/>
          <w:sz w:val="18"/>
          <w:szCs w:val="20"/>
          <w:lang w:val="en-GB" w:eastAsia="en-GB"/>
        </w:rPr>
        <w:t xml:space="preserve">A UE shall </w:t>
      </w:r>
      <w:r w:rsidRPr="00F6178A">
        <w:rPr>
          <w:rFonts w:ascii="Times New Roman" w:eastAsia="Malgun Gothic"/>
          <w:kern w:val="0"/>
          <w:sz w:val="18"/>
          <w:szCs w:val="20"/>
          <w:lang w:val="en-GB" w:eastAsia="en-GB"/>
        </w:rPr>
        <w:t xml:space="preserve">not </w:t>
      </w:r>
      <w:r w:rsidRPr="00F6178A">
        <w:rPr>
          <w:rFonts w:ascii="Times New Roman" w:eastAsia="Times New Roman"/>
          <w:kern w:val="0"/>
          <w:sz w:val="18"/>
          <w:szCs w:val="20"/>
          <w:lang w:val="en-GB" w:eastAsia="en-GB"/>
        </w:rPr>
        <w:t xml:space="preserve">transmit SRS whenever SRS transmission </w:t>
      </w:r>
      <w:r w:rsidRPr="00F6178A">
        <w:rPr>
          <w:rFonts w:ascii="Times New Roman" w:eastAsia="Malgun Gothic"/>
          <w:kern w:val="0"/>
          <w:sz w:val="18"/>
          <w:szCs w:val="20"/>
          <w:lang w:val="en-GB" w:eastAsia="en-GB"/>
        </w:rPr>
        <w:t xml:space="preserve">on any serving cells </w:t>
      </w:r>
      <w:r w:rsidRPr="00F6178A">
        <w:rPr>
          <w:rFonts w:ascii="Times New Roman" w:eastAsia="Times New Roman"/>
          <w:kern w:val="0"/>
          <w:sz w:val="18"/>
          <w:szCs w:val="20"/>
          <w:lang w:val="en-GB" w:eastAsia="en-GB"/>
        </w:rPr>
        <w:t>and PUCCH transmission carrying HARQ-ACK</w:t>
      </w:r>
      <w:r w:rsidRPr="00F6178A">
        <w:rPr>
          <w:rFonts w:ascii="Times New Roman" w:eastAsia="Malgun Gothic"/>
          <w:kern w:val="0"/>
          <w:sz w:val="18"/>
          <w:szCs w:val="20"/>
          <w:lang w:val="en-GB" w:eastAsia="en-GB"/>
        </w:rPr>
        <w:t xml:space="preserve"> </w:t>
      </w:r>
      <w:r w:rsidRPr="00F6178A">
        <w:rPr>
          <w:rFonts w:ascii="Times New Roman" w:eastAsia="Times New Roman"/>
          <w:kern w:val="0"/>
          <w:sz w:val="18"/>
          <w:szCs w:val="20"/>
          <w:lang w:val="en-GB" w:eastAsia="en-GB"/>
        </w:rPr>
        <w:t xml:space="preserve">and/or </w:t>
      </w:r>
      <w:r w:rsidRPr="00F6178A">
        <w:rPr>
          <w:rFonts w:ascii="Times New Roman" w:eastAsia="Malgun Gothic"/>
          <w:kern w:val="0"/>
          <w:sz w:val="18"/>
          <w:szCs w:val="20"/>
          <w:lang w:val="en-GB" w:eastAsia="en-GB"/>
        </w:rPr>
        <w:t xml:space="preserve">positive </w:t>
      </w:r>
      <w:r w:rsidRPr="00F6178A">
        <w:rPr>
          <w:rFonts w:ascii="Times New Roman" w:eastAsia="Times New Roman"/>
          <w:kern w:val="0"/>
          <w:sz w:val="18"/>
          <w:szCs w:val="20"/>
          <w:lang w:val="en-GB" w:eastAsia="en-GB"/>
        </w:rPr>
        <w:t xml:space="preserve">SR </w:t>
      </w:r>
      <w:r w:rsidRPr="00F6178A">
        <w:rPr>
          <w:rFonts w:ascii="Times New Roman" w:eastAsia="Malgun Gothic"/>
          <w:kern w:val="0"/>
          <w:sz w:val="18"/>
          <w:szCs w:val="20"/>
          <w:lang w:val="en-GB" w:eastAsia="en-GB"/>
        </w:rPr>
        <w:t xml:space="preserve">using normal PUCCH format </w:t>
      </w:r>
      <w:r w:rsidRPr="00F6178A">
        <w:rPr>
          <w:rFonts w:ascii="Times New Roman" w:eastAsia="Times New Roman"/>
          <w:kern w:val="0"/>
          <w:sz w:val="18"/>
          <w:szCs w:val="20"/>
          <w:lang w:eastAsia="en-GB"/>
        </w:rPr>
        <w:t xml:space="preserve">as defined in </w:t>
      </w:r>
      <w:proofErr w:type="spellStart"/>
      <w:r w:rsidRPr="00F6178A">
        <w:rPr>
          <w:rFonts w:ascii="Times New Roman" w:eastAsia="Times New Roman"/>
          <w:kern w:val="0"/>
          <w:sz w:val="18"/>
          <w:szCs w:val="20"/>
          <w:lang w:eastAsia="en-GB"/>
        </w:rPr>
        <w:t>subclause</w:t>
      </w:r>
      <w:r w:rsidRPr="00F6178A">
        <w:rPr>
          <w:rFonts w:ascii="Times New Roman" w:eastAsia="Malgun Gothic"/>
          <w:kern w:val="0"/>
          <w:sz w:val="18"/>
          <w:szCs w:val="20"/>
          <w:lang w:eastAsia="en-GB"/>
        </w:rPr>
        <w:t>s</w:t>
      </w:r>
      <w:proofErr w:type="spellEnd"/>
      <w:r w:rsidRPr="00F6178A">
        <w:rPr>
          <w:rFonts w:ascii="Times New Roman" w:eastAsia="Times New Roman"/>
          <w:kern w:val="0"/>
          <w:sz w:val="18"/>
          <w:szCs w:val="20"/>
          <w:lang w:eastAsia="en-GB"/>
        </w:rPr>
        <w:t xml:space="preserve"> 5.4.1 </w:t>
      </w:r>
      <w:r w:rsidRPr="00F6178A">
        <w:rPr>
          <w:rFonts w:ascii="Times New Roman" w:eastAsia="Malgun Gothic"/>
          <w:kern w:val="0"/>
          <w:sz w:val="18"/>
          <w:szCs w:val="20"/>
          <w:lang w:eastAsia="en-GB"/>
        </w:rPr>
        <w:t xml:space="preserve">and 5.4.2A </w:t>
      </w:r>
      <w:r w:rsidRPr="00F6178A">
        <w:rPr>
          <w:rFonts w:ascii="Times New Roman" w:eastAsia="Times New Roman"/>
          <w:kern w:val="0"/>
          <w:sz w:val="18"/>
          <w:szCs w:val="20"/>
          <w:lang w:eastAsia="en-GB"/>
        </w:rPr>
        <w:t>of [3]</w:t>
      </w:r>
      <w:r w:rsidRPr="00F6178A">
        <w:rPr>
          <w:rFonts w:ascii="Times New Roman" w:eastAsia="Malgun Gothic"/>
          <w:kern w:val="0"/>
          <w:sz w:val="18"/>
          <w:szCs w:val="20"/>
          <w:lang w:val="en-GB" w:eastAsia="en-GB"/>
        </w:rPr>
        <w:t xml:space="preserve"> </w:t>
      </w:r>
      <w:r w:rsidRPr="00F6178A">
        <w:rPr>
          <w:rFonts w:ascii="Times New Roman" w:eastAsia="Times New Roman"/>
          <w:kern w:val="0"/>
          <w:sz w:val="18"/>
          <w:szCs w:val="20"/>
          <w:lang w:val="en-GB" w:eastAsia="en-GB"/>
        </w:rPr>
        <w:t xml:space="preserve">happen to coincide in the same </w:t>
      </w:r>
      <w:proofErr w:type="spellStart"/>
      <w:r w:rsidRPr="00F6178A">
        <w:rPr>
          <w:rFonts w:ascii="Times New Roman" w:eastAsia="Times New Roman"/>
          <w:kern w:val="0"/>
          <w:sz w:val="18"/>
          <w:szCs w:val="20"/>
          <w:lang w:val="en-GB" w:eastAsia="en-GB"/>
        </w:rPr>
        <w:t>subframe</w:t>
      </w:r>
      <w:proofErr w:type="spellEnd"/>
      <w:r w:rsidRPr="00F6178A">
        <w:rPr>
          <w:rFonts w:ascii="Times New Roman" w:eastAsia="Malgun Gothic"/>
          <w:kern w:val="0"/>
          <w:sz w:val="18"/>
          <w:szCs w:val="20"/>
          <w:lang w:val="en-GB" w:eastAsia="en-GB"/>
        </w:rPr>
        <w:t>.</w:t>
      </w:r>
    </w:p>
    <w:p w14:paraId="1452696B" w14:textId="77777777" w:rsidR="00F6178A" w:rsidRPr="00F6178A" w:rsidRDefault="00F6178A" w:rsidP="00F6178A">
      <w:pPr>
        <w:widowControl/>
        <w:wordWrap/>
        <w:overflowPunct w:val="0"/>
        <w:adjustRightInd w:val="0"/>
        <w:spacing w:after="180"/>
        <w:ind w:left="800"/>
        <w:jc w:val="left"/>
        <w:rPr>
          <w:rFonts w:ascii="Times New Roman" w:eastAsia="Times New Roman"/>
          <w:kern w:val="0"/>
          <w:sz w:val="18"/>
          <w:szCs w:val="20"/>
          <w:lang w:val="en-GB" w:eastAsia="en-GB"/>
        </w:rPr>
      </w:pPr>
      <w:r w:rsidRPr="00F6178A">
        <w:rPr>
          <w:rFonts w:ascii="Times New Roman" w:eastAsia="Times New Roman"/>
          <w:kern w:val="0"/>
          <w:sz w:val="18"/>
          <w:szCs w:val="20"/>
          <w:lang w:val="en-GB" w:eastAsia="en-GB"/>
        </w:rPr>
        <w:t>A UE shall not transmit SRS whenever SRS and PUSCH transmissions happen to coincide in the same symbol.</w:t>
      </w:r>
    </w:p>
    <w:p w14:paraId="5E899772" w14:textId="1F45A679" w:rsidR="00F6178A" w:rsidRDefault="00F6178A" w:rsidP="00F6178A">
      <w:pPr>
        <w:widowControl/>
        <w:wordWrap/>
        <w:overflowPunct w:val="0"/>
        <w:adjustRightInd w:val="0"/>
        <w:spacing w:after="180"/>
        <w:jc w:val="left"/>
        <w:rPr>
          <w:rFonts w:ascii="Times New Roman" w:eastAsia="Malgun Gothic"/>
          <w:kern w:val="0"/>
          <w:szCs w:val="20"/>
          <w:lang w:val="en-GB" w:eastAsia="en-GB"/>
        </w:rPr>
      </w:pPr>
    </w:p>
    <w:p w14:paraId="4E102707" w14:textId="17A875A1" w:rsidR="00F6178A" w:rsidRDefault="00F6178A" w:rsidP="00F6178A">
      <w:pPr>
        <w:widowControl/>
        <w:wordWrap/>
        <w:overflowPunct w:val="0"/>
        <w:adjustRightInd w:val="0"/>
        <w:spacing w:after="180"/>
        <w:jc w:val="left"/>
        <w:rPr>
          <w:rFonts w:ascii="Times New Roman" w:eastAsia="Malgun Gothic"/>
          <w:kern w:val="0"/>
          <w:szCs w:val="20"/>
          <w:lang w:val="en-GB" w:eastAsia="en-GB"/>
        </w:rPr>
      </w:pPr>
      <w:r>
        <w:rPr>
          <w:rFonts w:ascii="Times New Roman" w:eastAsia="Malgun Gothic"/>
          <w:kern w:val="0"/>
          <w:szCs w:val="20"/>
          <w:lang w:val="en-GB" w:eastAsia="en-GB"/>
        </w:rPr>
        <w:t xml:space="preserve">All these conditions were changed in later releases, allowing for simultaneous transmission of SRS and PUSCH/PUCCH. For instance, in TS 36.213 v14.3.0, the dropping of SRS was conditioned on the UE not being configured with multiple TAGs or with the parameter </w:t>
      </w:r>
      <w:proofErr w:type="spellStart"/>
      <w:r>
        <w:rPr>
          <w:rFonts w:ascii="Times New Roman" w:eastAsia="Malgun Gothic"/>
          <w:kern w:val="0"/>
          <w:szCs w:val="20"/>
          <w:lang w:val="en-GB" w:eastAsia="en-GB"/>
        </w:rPr>
        <w:t>srs-UpPtsAdd</w:t>
      </w:r>
      <w:proofErr w:type="spellEnd"/>
      <w:r>
        <w:rPr>
          <w:rFonts w:ascii="Times New Roman" w:eastAsia="Malgun Gothic"/>
          <w:kern w:val="0"/>
          <w:szCs w:val="20"/>
          <w:lang w:val="en-GB" w:eastAsia="en-GB"/>
        </w:rPr>
        <w:t>. The following conditions are included in one of the conditions:</w:t>
      </w:r>
    </w:p>
    <w:p w14:paraId="214BB862" w14:textId="4E0510C8" w:rsidR="00F6178A" w:rsidRPr="00F6178A" w:rsidRDefault="00F6178A" w:rsidP="00F6178A">
      <w:pPr>
        <w:widowControl/>
        <w:wordWrap/>
        <w:overflowPunct w:val="0"/>
        <w:adjustRightInd w:val="0"/>
        <w:spacing w:after="180"/>
        <w:ind w:left="800"/>
        <w:jc w:val="left"/>
        <w:rPr>
          <w:rFonts w:ascii="Times New Roman" w:eastAsia="Times New Roman"/>
          <w:kern w:val="0"/>
          <w:sz w:val="18"/>
          <w:szCs w:val="20"/>
          <w:lang w:val="en-GB" w:eastAsia="en-GB"/>
        </w:rPr>
      </w:pPr>
      <w:r w:rsidRPr="00F6178A">
        <w:rPr>
          <w:rFonts w:ascii="Times New Roman" w:eastAsia="Times New Roman"/>
          <w:kern w:val="0"/>
          <w:sz w:val="18"/>
          <w:szCs w:val="20"/>
          <w:highlight w:val="lightGray"/>
          <w:lang w:val="en-GB" w:eastAsia="en-GB"/>
        </w:rPr>
        <w:t xml:space="preserve">If a UE is not configured with multiple TAGs and the UE is not configured with the parameter </w:t>
      </w:r>
      <w:proofErr w:type="spellStart"/>
      <w:r w:rsidRPr="00F6178A">
        <w:rPr>
          <w:rFonts w:ascii="Times New Roman" w:eastAsia="Times New Roman"/>
          <w:kern w:val="0"/>
          <w:sz w:val="18"/>
          <w:szCs w:val="20"/>
          <w:highlight w:val="lightGray"/>
          <w:lang w:val="en-GB" w:eastAsia="en-GB"/>
        </w:rPr>
        <w:t>srs-UpPtsAdd</w:t>
      </w:r>
      <w:proofErr w:type="spellEnd"/>
      <w:r w:rsidRPr="00F6178A">
        <w:rPr>
          <w:rFonts w:ascii="Times New Roman" w:eastAsia="Times New Roman"/>
          <w:kern w:val="0"/>
          <w:sz w:val="18"/>
          <w:szCs w:val="20"/>
          <w:highlight w:val="lightGray"/>
          <w:lang w:val="en-GB" w:eastAsia="en-GB"/>
        </w:rPr>
        <w:t xml:space="preserve"> for trigger type 1, or if a UE is not configured with multiple TAGs and the UE is not configured with more than one serving cell of different CPs</w:t>
      </w:r>
      <w:r w:rsidRPr="00F6178A">
        <w:rPr>
          <w:rFonts w:ascii="Times New Roman" w:eastAsia="Times New Roman"/>
          <w:kern w:val="0"/>
          <w:sz w:val="18"/>
          <w:szCs w:val="20"/>
          <w:lang w:val="en-GB" w:eastAsia="en-GB"/>
        </w:rPr>
        <w:t>, the UE shall not transmit SRS in a symbol whenever SRS and PUSCH transmissions happen to overlap in the same symbol, except when the SRS is on a TDD serving cell not configured for PUSCH/PUCCH transmission.</w:t>
      </w:r>
    </w:p>
    <w:p w14:paraId="6815787B" w14:textId="506881B9" w:rsidR="00F6178A" w:rsidRDefault="00F6178A" w:rsidP="00F6178A">
      <w:pPr>
        <w:widowControl/>
        <w:wordWrap/>
        <w:overflowPunct w:val="0"/>
        <w:adjustRightInd w:val="0"/>
        <w:spacing w:after="180"/>
        <w:jc w:val="left"/>
        <w:rPr>
          <w:rFonts w:ascii="Times New Roman" w:eastAsia="Malgun Gothic"/>
          <w:kern w:val="0"/>
          <w:szCs w:val="20"/>
          <w:lang w:eastAsia="en-GB"/>
        </w:rPr>
      </w:pPr>
    </w:p>
    <w:p w14:paraId="5445821A" w14:textId="41D2CAC3" w:rsidR="00F6178A" w:rsidRDefault="00F6178A" w:rsidP="00F6178A">
      <w:pPr>
        <w:widowControl/>
        <w:wordWrap/>
        <w:overflowPunct w:val="0"/>
        <w:adjustRightInd w:val="0"/>
        <w:spacing w:after="180"/>
        <w:jc w:val="left"/>
        <w:rPr>
          <w:rFonts w:ascii="Times New Roman" w:eastAsia="Malgun Gothic"/>
          <w:kern w:val="0"/>
          <w:szCs w:val="20"/>
          <w:lang w:eastAsia="en-GB"/>
        </w:rPr>
      </w:pPr>
      <w:r>
        <w:rPr>
          <w:rFonts w:ascii="Times New Roman" w:eastAsia="Malgun Gothic"/>
          <w:kern w:val="0"/>
          <w:szCs w:val="20"/>
          <w:lang w:eastAsia="en-GB"/>
        </w:rPr>
        <w:t xml:space="preserve">Note that the previous statement does not only impact the new cases (e.g. SRS in additional </w:t>
      </w:r>
      <w:proofErr w:type="spellStart"/>
      <w:r>
        <w:rPr>
          <w:rFonts w:ascii="Times New Roman" w:eastAsia="Malgun Gothic"/>
          <w:kern w:val="0"/>
          <w:szCs w:val="20"/>
          <w:lang w:eastAsia="en-GB"/>
        </w:rPr>
        <w:t>UpPts</w:t>
      </w:r>
      <w:proofErr w:type="spellEnd"/>
      <w:r>
        <w:rPr>
          <w:rFonts w:ascii="Times New Roman" w:eastAsia="Malgun Gothic"/>
          <w:kern w:val="0"/>
          <w:szCs w:val="20"/>
          <w:lang w:eastAsia="en-GB"/>
        </w:rPr>
        <w:t xml:space="preserve"> symbols, or collision across different TAGs), but also legacy cases (e.g. collision of SRS + PUSCH in same TAG). In the following, we present some issues with this change that make implementation complexity increased, and a solution to solve it.</w:t>
      </w:r>
    </w:p>
    <w:p w14:paraId="0ECCC8BF" w14:textId="525F0BD9" w:rsidR="00F6178A" w:rsidRDefault="00F6178A" w:rsidP="00F6178A">
      <w:pPr>
        <w:widowControl/>
        <w:wordWrap/>
        <w:overflowPunct w:val="0"/>
        <w:adjustRightInd w:val="0"/>
        <w:spacing w:after="180"/>
        <w:jc w:val="left"/>
        <w:rPr>
          <w:rFonts w:ascii="Times New Roman" w:eastAsia="Malgun Gothic"/>
          <w:kern w:val="0"/>
          <w:szCs w:val="20"/>
          <w:lang w:eastAsia="en-GB"/>
        </w:rPr>
      </w:pPr>
    </w:p>
    <w:p w14:paraId="066C54BE" w14:textId="6370D262" w:rsidR="00F6178A" w:rsidRDefault="00F6178A" w:rsidP="00F6178A">
      <w:pPr>
        <w:pStyle w:val="Heading1"/>
        <w:rPr>
          <w:lang w:val="en-US"/>
        </w:rPr>
      </w:pPr>
      <w:r>
        <w:rPr>
          <w:lang w:val="en-US"/>
        </w:rPr>
        <w:t>Problems and possible solution</w:t>
      </w:r>
    </w:p>
    <w:p w14:paraId="235656EE" w14:textId="286AF39E" w:rsidR="00F6178A" w:rsidRDefault="00F6178A" w:rsidP="00F6178A">
      <w:pPr>
        <w:widowControl/>
        <w:wordWrap/>
        <w:overflowPunct w:val="0"/>
        <w:adjustRightInd w:val="0"/>
        <w:spacing w:after="180"/>
        <w:jc w:val="left"/>
        <w:rPr>
          <w:rFonts w:ascii="Times New Roman" w:eastAsia="Malgun Gothic"/>
          <w:kern w:val="0"/>
          <w:szCs w:val="20"/>
          <w:lang w:eastAsia="en-GB"/>
        </w:rPr>
      </w:pPr>
      <w:r>
        <w:rPr>
          <w:rFonts w:ascii="Times New Roman" w:eastAsia="Malgun Gothic"/>
          <w:kern w:val="0"/>
          <w:szCs w:val="20"/>
          <w:lang w:eastAsia="en-GB"/>
        </w:rPr>
        <w:t>The main reason to allow simultaneous PUSCH/PUCCH and SRS transmission was that, if the UE has enough power, there is no clear reason to drop the SRS transmission. For the cases where the UE is power limited, power control/dropping rules for SRS would lead to SRS transmission with reduced power and/or dropping.</w:t>
      </w:r>
    </w:p>
    <w:p w14:paraId="2A10CE2A" w14:textId="58BC9976" w:rsidR="00F6178A" w:rsidRDefault="00F6178A" w:rsidP="00F6178A">
      <w:pPr>
        <w:widowControl/>
        <w:wordWrap/>
        <w:overflowPunct w:val="0"/>
        <w:adjustRightInd w:val="0"/>
        <w:spacing w:after="180"/>
        <w:jc w:val="left"/>
        <w:rPr>
          <w:rFonts w:ascii="Times New Roman" w:eastAsia="Malgun Gothic"/>
          <w:kern w:val="0"/>
          <w:szCs w:val="20"/>
          <w:lang w:eastAsia="en-GB"/>
        </w:rPr>
      </w:pPr>
      <w:r>
        <w:rPr>
          <w:rFonts w:ascii="Times New Roman" w:eastAsia="Malgun Gothic"/>
          <w:kern w:val="0"/>
          <w:szCs w:val="20"/>
          <w:lang w:eastAsia="en-GB"/>
        </w:rPr>
        <w:lastRenderedPageBreak/>
        <w:t>The power sharing mechanisms do indeed work when the power for the SRS transmission can be set independently from that of PUSCH/PUCCH in a different serving cell. This is the case when both carriers use different power amplifiers (PA), such that setting the power in one of the carriers does not impact transmission on the other one.</w:t>
      </w:r>
    </w:p>
    <w:p w14:paraId="56581876" w14:textId="360C3671" w:rsidR="00F6178A" w:rsidRDefault="00F6178A" w:rsidP="00F6178A">
      <w:pPr>
        <w:widowControl/>
        <w:wordWrap/>
        <w:overflowPunct w:val="0"/>
        <w:adjustRightInd w:val="0"/>
        <w:spacing w:after="180"/>
        <w:jc w:val="left"/>
        <w:rPr>
          <w:rFonts w:ascii="Times New Roman" w:eastAsia="Malgun Gothic"/>
          <w:kern w:val="0"/>
          <w:szCs w:val="20"/>
          <w:lang w:eastAsia="en-GB"/>
        </w:rPr>
      </w:pPr>
      <w:r>
        <w:rPr>
          <w:rFonts w:ascii="Times New Roman" w:eastAsia="Malgun Gothic"/>
          <w:kern w:val="0"/>
          <w:szCs w:val="20"/>
          <w:lang w:eastAsia="en-GB"/>
        </w:rPr>
        <w:t>In some cases, however, the PA is shared among different carriers. One particular case of interest is the case of contiguous intra-band carrier aggregation, in which RAN4 requirements assume single PA. In this case, we would have a power change during an ongoing uplink transmission, which may result in phase discontinuity. We show this issue in Figure 1.</w:t>
      </w:r>
    </w:p>
    <w:p w14:paraId="0D914E51" w14:textId="0B6DEE66" w:rsidR="00F6178A" w:rsidRDefault="00F6178A" w:rsidP="00F6178A">
      <w:pPr>
        <w:widowControl/>
        <w:wordWrap/>
        <w:overflowPunct w:val="0"/>
        <w:adjustRightInd w:val="0"/>
        <w:spacing w:after="180"/>
        <w:jc w:val="left"/>
        <w:rPr>
          <w:rFonts w:ascii="Times New Roman" w:eastAsia="Malgun Gothic"/>
          <w:kern w:val="0"/>
          <w:szCs w:val="20"/>
          <w:lang w:eastAsia="en-GB"/>
        </w:rPr>
      </w:pPr>
    </w:p>
    <w:p w14:paraId="166CE57E" w14:textId="2E91E36B" w:rsidR="00F6178A" w:rsidRDefault="00B75D36" w:rsidP="00F6178A">
      <w:pPr>
        <w:keepNext/>
        <w:widowControl/>
        <w:wordWrap/>
        <w:overflowPunct w:val="0"/>
        <w:adjustRightInd w:val="0"/>
        <w:spacing w:after="180"/>
        <w:jc w:val="center"/>
      </w:pPr>
      <w:r w:rsidRPr="00F6178A">
        <w:rPr>
          <w:rFonts w:ascii="Times New Roman" w:eastAsia="Malgun Gothic"/>
          <w:kern w:val="0"/>
          <w:szCs w:val="20"/>
          <w:lang w:eastAsia="en-GB"/>
        </w:rPr>
        <w:object w:dxaOrig="9100" w:dyaOrig="6555" w14:anchorId="536682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7pt;height:231.05pt" o:ole="">
            <v:imagedata r:id="rId14" o:title=""/>
          </v:shape>
          <o:OLEObject Type="Embed" ProgID="Visio.Drawing.11" ShapeID="_x0000_i1025" DrawAspect="Content" ObjectID="_1563976731" r:id="rId15"/>
        </w:object>
      </w:r>
    </w:p>
    <w:p w14:paraId="135F6F9C" w14:textId="4CA5A445" w:rsidR="00F6178A" w:rsidRDefault="00F6178A" w:rsidP="00F6178A">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Issue with phase continuity with SRS transmission</w:t>
      </w:r>
    </w:p>
    <w:p w14:paraId="1E805FAB" w14:textId="06B233F8" w:rsidR="00F6178A" w:rsidRDefault="00F6178A" w:rsidP="00F6178A">
      <w:pPr>
        <w:widowControl/>
        <w:wordWrap/>
        <w:overflowPunct w:val="0"/>
        <w:adjustRightInd w:val="0"/>
        <w:spacing w:after="180"/>
        <w:jc w:val="left"/>
        <w:rPr>
          <w:rFonts w:ascii="Times New Roman" w:eastAsia="Malgun Gothic"/>
          <w:kern w:val="0"/>
          <w:szCs w:val="20"/>
          <w:lang w:eastAsia="en-GB"/>
        </w:rPr>
      </w:pPr>
      <w:r>
        <w:rPr>
          <w:rFonts w:ascii="Times New Roman" w:eastAsia="Malgun Gothic"/>
          <w:kern w:val="0"/>
          <w:szCs w:val="20"/>
          <w:lang w:eastAsia="en-GB"/>
        </w:rPr>
        <w:t>Let us describe step by step the issue:</w:t>
      </w:r>
    </w:p>
    <w:p w14:paraId="7D80695D" w14:textId="6813F703" w:rsidR="00F6178A" w:rsidRDefault="00F6178A" w:rsidP="00F6178A">
      <w:pPr>
        <w:pStyle w:val="ListParagraph"/>
        <w:numPr>
          <w:ilvl w:val="0"/>
          <w:numId w:val="36"/>
        </w:numPr>
        <w:overflowPunct w:val="0"/>
        <w:adjustRightInd w:val="0"/>
        <w:spacing w:after="180"/>
        <w:ind w:leftChars="0"/>
        <w:rPr>
          <w:rFonts w:ascii="Times New Roman" w:eastAsia="Malgun Gothic" w:hAnsi="Times New Roman" w:cs="Times New Roman"/>
          <w:sz w:val="20"/>
          <w:szCs w:val="20"/>
          <w:lang w:eastAsia="en-GB"/>
        </w:rPr>
      </w:pPr>
      <w:r w:rsidRPr="00F6178A">
        <w:rPr>
          <w:rFonts w:ascii="Times New Roman" w:eastAsia="Malgun Gothic" w:hAnsi="Times New Roman" w:cs="Times New Roman"/>
          <w:sz w:val="20"/>
          <w:szCs w:val="20"/>
          <w:lang w:eastAsia="en-GB"/>
        </w:rPr>
        <w:t>At the be</w:t>
      </w:r>
      <w:r>
        <w:rPr>
          <w:rFonts w:ascii="Times New Roman" w:eastAsia="Malgun Gothic" w:hAnsi="Times New Roman" w:cs="Times New Roman"/>
          <w:sz w:val="20"/>
          <w:szCs w:val="20"/>
          <w:lang w:eastAsia="en-GB"/>
        </w:rPr>
        <w:t xml:space="preserve">ginning of the </w:t>
      </w:r>
      <w:proofErr w:type="spellStart"/>
      <w:r>
        <w:rPr>
          <w:rFonts w:ascii="Times New Roman" w:eastAsia="Malgun Gothic" w:hAnsi="Times New Roman" w:cs="Times New Roman"/>
          <w:sz w:val="20"/>
          <w:szCs w:val="20"/>
          <w:lang w:eastAsia="en-GB"/>
        </w:rPr>
        <w:t>subframe</w:t>
      </w:r>
      <w:proofErr w:type="spellEnd"/>
      <w:r>
        <w:rPr>
          <w:rFonts w:ascii="Times New Roman" w:eastAsia="Malgun Gothic" w:hAnsi="Times New Roman" w:cs="Times New Roman"/>
          <w:sz w:val="20"/>
          <w:szCs w:val="20"/>
          <w:lang w:eastAsia="en-GB"/>
        </w:rPr>
        <w:t>, the UE calculates the transmit power for PUSCH in CC1. Based on this power, it selects the set point of the PA that accommodates such power. In Figure one, the UE selects the second set point, since it is the smallest one that can allow for the desired power.</w:t>
      </w:r>
    </w:p>
    <w:p w14:paraId="11443874" w14:textId="3DB1BB46" w:rsidR="00F6178A" w:rsidRDefault="00F6178A" w:rsidP="00F6178A">
      <w:pPr>
        <w:pStyle w:val="ListParagraph"/>
        <w:numPr>
          <w:ilvl w:val="0"/>
          <w:numId w:val="36"/>
        </w:numPr>
        <w:overflowPunct w:val="0"/>
        <w:adjustRightInd w:val="0"/>
        <w:spacing w:after="180"/>
        <w:ind w:leftChars="0"/>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In the last symbol, the UE has to transmit SRS. This will increase the total transmit power in the last symbol. When increasing the power, two things can happen:</w:t>
      </w:r>
    </w:p>
    <w:p w14:paraId="666A3CC0" w14:textId="228FFE33" w:rsidR="00F6178A" w:rsidRDefault="00F6178A" w:rsidP="00F6178A">
      <w:pPr>
        <w:pStyle w:val="ListParagraph"/>
        <w:numPr>
          <w:ilvl w:val="1"/>
          <w:numId w:val="36"/>
        </w:numPr>
        <w:overflowPunct w:val="0"/>
        <w:adjustRightInd w:val="0"/>
        <w:spacing w:after="180"/>
        <w:ind w:leftChars="0"/>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The increase in power is rather small, so the PA set point is not changed. In this case, the UE transmits SRS and no issue is observed.</w:t>
      </w:r>
    </w:p>
    <w:p w14:paraId="6DDC63F3" w14:textId="413DE252" w:rsidR="00F6178A" w:rsidRDefault="00F6178A" w:rsidP="00F6178A">
      <w:pPr>
        <w:pStyle w:val="ListParagraph"/>
        <w:numPr>
          <w:ilvl w:val="1"/>
          <w:numId w:val="36"/>
        </w:numPr>
        <w:overflowPunct w:val="0"/>
        <w:adjustRightInd w:val="0"/>
        <w:spacing w:after="180"/>
        <w:ind w:leftChars="0"/>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 xml:space="preserve">The increase in power is larger, so the PA set point has to change. For example, in Figure 1, the UE has to move from set point 2 to set point 5. This change in the set point will affect the phase continuity of PUSCH in CC1 (essentially, the last symbol in the </w:t>
      </w:r>
      <w:proofErr w:type="spellStart"/>
      <w:r>
        <w:rPr>
          <w:rFonts w:ascii="Times New Roman" w:eastAsia="Malgun Gothic" w:hAnsi="Times New Roman" w:cs="Times New Roman"/>
          <w:sz w:val="20"/>
          <w:szCs w:val="20"/>
          <w:lang w:eastAsia="en-GB"/>
        </w:rPr>
        <w:t>subframe</w:t>
      </w:r>
      <w:proofErr w:type="spellEnd"/>
      <w:r>
        <w:rPr>
          <w:rFonts w:ascii="Times New Roman" w:eastAsia="Malgun Gothic" w:hAnsi="Times New Roman" w:cs="Times New Roman"/>
          <w:sz w:val="20"/>
          <w:szCs w:val="20"/>
          <w:lang w:eastAsia="en-GB"/>
        </w:rPr>
        <w:t xml:space="preserve"> will be lost, since there is no way to recover that information).</w:t>
      </w:r>
    </w:p>
    <w:p w14:paraId="18E7955E" w14:textId="77777777" w:rsidR="00F6178A" w:rsidRPr="00F6178A" w:rsidRDefault="00F6178A" w:rsidP="00F6178A">
      <w:pPr>
        <w:overflowPunct w:val="0"/>
        <w:adjustRightInd w:val="0"/>
        <w:spacing w:after="180"/>
        <w:rPr>
          <w:rFonts w:ascii="Times New Roman" w:eastAsia="Malgun Gothic"/>
          <w:szCs w:val="20"/>
          <w:lang w:eastAsia="en-GB"/>
        </w:rPr>
      </w:pPr>
    </w:p>
    <w:p w14:paraId="6DE86AEC" w14:textId="2AF7E60E" w:rsidR="00F6178A" w:rsidRDefault="00B75D36" w:rsidP="00F6178A">
      <w:pPr>
        <w:widowControl/>
        <w:wordWrap/>
        <w:overflowPunct w:val="0"/>
        <w:adjustRightInd w:val="0"/>
        <w:spacing w:after="180"/>
        <w:jc w:val="left"/>
        <w:rPr>
          <w:rFonts w:ascii="Times New Roman" w:eastAsia="Malgun Gothic"/>
          <w:kern w:val="0"/>
          <w:szCs w:val="20"/>
          <w:lang w:val="en-GB" w:eastAsia="en-GB"/>
        </w:rPr>
      </w:pPr>
      <w:r>
        <w:rPr>
          <w:rFonts w:ascii="Times New Roman" w:eastAsia="Malgun Gothic"/>
          <w:kern w:val="0"/>
          <w:szCs w:val="20"/>
          <w:lang w:val="en-GB" w:eastAsia="en-GB"/>
        </w:rPr>
        <w:t>In this particular case of shared PA, this ‘glitch’ may reduce the data rate significantly, especially when operating in high SNR conditions. To avoid this degradation, our proposal is to allow the UE to drop the SRS for the case of ‘single PA’. Since there is no notion of ‘single PA’, nor signalling to convey this information in RAN1/2 specifications, we have the following alternatives:</w:t>
      </w:r>
    </w:p>
    <w:p w14:paraId="034170BF" w14:textId="4C93CAD1" w:rsidR="00B75D36" w:rsidRPr="00B75D36" w:rsidRDefault="00B75D36" w:rsidP="00B75D36">
      <w:pPr>
        <w:pStyle w:val="ListParagraph"/>
        <w:numPr>
          <w:ilvl w:val="0"/>
          <w:numId w:val="37"/>
        </w:numPr>
        <w:overflowPunct w:val="0"/>
        <w:adjustRightInd w:val="0"/>
        <w:spacing w:after="180"/>
        <w:ind w:leftChars="0"/>
        <w:rPr>
          <w:rFonts w:ascii="Times New Roman" w:eastAsia="Malgun Gothic"/>
          <w:szCs w:val="20"/>
          <w:lang w:val="en-GB" w:eastAsia="en-GB"/>
        </w:rPr>
      </w:pPr>
      <w:r>
        <w:rPr>
          <w:rFonts w:ascii="Times New Roman" w:eastAsia="Malgun Gothic" w:hAnsi="Times New Roman" w:cs="Times New Roman"/>
          <w:sz w:val="20"/>
          <w:szCs w:val="20"/>
          <w:lang w:eastAsia="en-GB"/>
        </w:rPr>
        <w:t>For the case of collision within the same TAG allow dropping of SRS.</w:t>
      </w:r>
    </w:p>
    <w:p w14:paraId="27F521D8" w14:textId="7CC67188" w:rsidR="00B75D36" w:rsidRPr="00B75D36" w:rsidRDefault="00B75D36" w:rsidP="00B75D36">
      <w:pPr>
        <w:pStyle w:val="ListParagraph"/>
        <w:numPr>
          <w:ilvl w:val="0"/>
          <w:numId w:val="37"/>
        </w:numPr>
        <w:overflowPunct w:val="0"/>
        <w:adjustRightInd w:val="0"/>
        <w:spacing w:after="180"/>
        <w:ind w:leftChars="0"/>
        <w:rPr>
          <w:rFonts w:ascii="Times New Roman" w:eastAsia="Malgun Gothic"/>
          <w:szCs w:val="20"/>
          <w:lang w:val="en-GB" w:eastAsia="en-GB"/>
        </w:rPr>
      </w:pPr>
      <w:r>
        <w:rPr>
          <w:rFonts w:ascii="Times New Roman" w:eastAsia="Malgun Gothic" w:hAnsi="Times New Roman" w:cs="Times New Roman"/>
          <w:sz w:val="20"/>
          <w:szCs w:val="20"/>
          <w:lang w:val="en-GB" w:eastAsia="en-GB"/>
        </w:rPr>
        <w:t>For the case of intra-band carrier aggregation, allow dropping of SRS.</w:t>
      </w:r>
    </w:p>
    <w:p w14:paraId="7ACC3087" w14:textId="1CFB9880" w:rsidR="00B75D36" w:rsidRDefault="00B75D36" w:rsidP="00B75D36">
      <w:pPr>
        <w:pStyle w:val="ListParagraph"/>
        <w:numPr>
          <w:ilvl w:val="0"/>
          <w:numId w:val="37"/>
        </w:numPr>
        <w:overflowPunct w:val="0"/>
        <w:adjustRightInd w:val="0"/>
        <w:spacing w:after="180"/>
        <w:ind w:leftChars="0"/>
        <w:rPr>
          <w:rFonts w:ascii="Times New Roman" w:eastAsia="Malgun Gothic" w:hAnsi="Times New Roman" w:cs="Times New Roman"/>
          <w:sz w:val="20"/>
          <w:szCs w:val="20"/>
          <w:lang w:val="en-GB" w:eastAsia="en-GB"/>
        </w:rPr>
      </w:pPr>
      <w:r>
        <w:rPr>
          <w:rFonts w:ascii="Times New Roman" w:eastAsia="Malgun Gothic" w:hAnsi="Times New Roman" w:cs="Times New Roman"/>
          <w:sz w:val="20"/>
          <w:szCs w:val="20"/>
          <w:lang w:val="en-GB" w:eastAsia="en-GB"/>
        </w:rPr>
        <w:t>Introduce signalling to expose which CC use the same PA (e.g. per band-combination, signal which CC use the same PA).</w:t>
      </w:r>
    </w:p>
    <w:p w14:paraId="7B163253" w14:textId="249203B0" w:rsidR="00B75D36" w:rsidRDefault="00B75D36" w:rsidP="00B75D36">
      <w:pPr>
        <w:pStyle w:val="ListParagraph"/>
        <w:numPr>
          <w:ilvl w:val="0"/>
          <w:numId w:val="37"/>
        </w:numPr>
        <w:overflowPunct w:val="0"/>
        <w:adjustRightInd w:val="0"/>
        <w:spacing w:after="180"/>
        <w:ind w:leftChars="0"/>
        <w:rPr>
          <w:rFonts w:ascii="Times New Roman" w:eastAsia="Malgun Gothic" w:hAnsi="Times New Roman" w:cs="Times New Roman"/>
          <w:sz w:val="20"/>
          <w:szCs w:val="20"/>
          <w:lang w:val="en-GB" w:eastAsia="en-GB"/>
        </w:rPr>
      </w:pPr>
      <w:r>
        <w:rPr>
          <w:rFonts w:ascii="Times New Roman" w:eastAsia="Malgun Gothic" w:hAnsi="Times New Roman" w:cs="Times New Roman"/>
          <w:sz w:val="20"/>
          <w:szCs w:val="20"/>
          <w:lang w:val="en-GB" w:eastAsia="en-GB"/>
        </w:rPr>
        <w:t>For the case of same TAG, same band, same CP, allow dropping of SRS.</w:t>
      </w:r>
    </w:p>
    <w:p w14:paraId="10A43ECC" w14:textId="7EBDD580" w:rsidR="00B75D36" w:rsidRDefault="00B75D36" w:rsidP="00B75D36">
      <w:pPr>
        <w:widowControl/>
        <w:wordWrap/>
        <w:overflowPunct w:val="0"/>
        <w:adjustRightInd w:val="0"/>
        <w:spacing w:after="180"/>
        <w:jc w:val="left"/>
        <w:rPr>
          <w:rFonts w:ascii="Times New Roman" w:eastAsia="Malgun Gothic"/>
          <w:kern w:val="0"/>
          <w:szCs w:val="20"/>
          <w:lang w:val="en-GB" w:eastAsia="en-GB"/>
        </w:rPr>
      </w:pPr>
      <w:r w:rsidRPr="00B75D36">
        <w:rPr>
          <w:rFonts w:ascii="Times New Roman" w:eastAsia="Malgun Gothic"/>
          <w:kern w:val="0"/>
          <w:szCs w:val="20"/>
          <w:lang w:val="en-GB" w:eastAsia="en-GB"/>
        </w:rPr>
        <w:lastRenderedPageBreak/>
        <w:t xml:space="preserve">Note that option 4 is the most restrictive one, so the number of band combinations affected should be the smallest one. </w:t>
      </w:r>
      <w:r>
        <w:rPr>
          <w:rFonts w:ascii="Times New Roman" w:eastAsia="Malgun Gothic"/>
          <w:kern w:val="0"/>
          <w:szCs w:val="20"/>
          <w:lang w:val="en-GB" w:eastAsia="en-GB"/>
        </w:rPr>
        <w:t>Although any of the options above would solve the problem, we think option 4 would allow for the minimum SRS dropping, and would not require the introduction of new signalling. Thu</w:t>
      </w:r>
      <w:r w:rsidR="00BC1910">
        <w:rPr>
          <w:rFonts w:ascii="Times New Roman" w:eastAsia="Malgun Gothic"/>
          <w:kern w:val="0"/>
          <w:szCs w:val="20"/>
          <w:lang w:val="en-GB" w:eastAsia="en-GB"/>
        </w:rPr>
        <w:t>s, we propose to adopt Option 4.</w:t>
      </w:r>
    </w:p>
    <w:p w14:paraId="53B49E9D" w14:textId="0EBA0951" w:rsidR="00BC1910" w:rsidRDefault="00BC1910" w:rsidP="00B75D36">
      <w:pPr>
        <w:widowControl/>
        <w:wordWrap/>
        <w:overflowPunct w:val="0"/>
        <w:adjustRightInd w:val="0"/>
        <w:spacing w:after="180"/>
        <w:jc w:val="left"/>
        <w:rPr>
          <w:rFonts w:ascii="Times New Roman" w:eastAsia="Malgun Gothic"/>
          <w:kern w:val="0"/>
          <w:szCs w:val="20"/>
          <w:lang w:val="en-GB" w:eastAsia="en-GB"/>
        </w:rPr>
      </w:pPr>
    </w:p>
    <w:p w14:paraId="120417EF" w14:textId="4347415A" w:rsidR="00BC1910" w:rsidRPr="00BC1910" w:rsidRDefault="00BC1910" w:rsidP="00B75D36">
      <w:pPr>
        <w:widowControl/>
        <w:wordWrap/>
        <w:overflowPunct w:val="0"/>
        <w:adjustRightInd w:val="0"/>
        <w:spacing w:after="180"/>
        <w:jc w:val="left"/>
        <w:rPr>
          <w:rFonts w:ascii="Times New Roman" w:eastAsia="Malgun Gothic"/>
          <w:b/>
          <w:kern w:val="0"/>
          <w:szCs w:val="20"/>
          <w:lang w:val="en-GB" w:eastAsia="en-GB"/>
        </w:rPr>
      </w:pPr>
      <w:r w:rsidRPr="00BC1910">
        <w:rPr>
          <w:rFonts w:ascii="Times New Roman" w:eastAsia="Malgun Gothic"/>
          <w:b/>
          <w:kern w:val="0"/>
          <w:szCs w:val="20"/>
          <w:u w:val="single"/>
          <w:lang w:val="en-GB" w:eastAsia="en-GB"/>
        </w:rPr>
        <w:t>Proposal:</w:t>
      </w:r>
      <w:r>
        <w:rPr>
          <w:rFonts w:ascii="Times New Roman" w:eastAsia="Malgun Gothic"/>
          <w:b/>
          <w:kern w:val="0"/>
          <w:szCs w:val="20"/>
          <w:lang w:val="en-GB" w:eastAsia="en-GB"/>
        </w:rPr>
        <w:t xml:space="preserve"> For the case of collision between PUCCH/PUSCH and SRS in same TAG, same band, same CP, the UE is allowed to drop SRS.</w:t>
      </w:r>
    </w:p>
    <w:p w14:paraId="4BAD2479" w14:textId="3A7BFFB1" w:rsidR="00B75D36" w:rsidRDefault="00B75D36" w:rsidP="00B75D36">
      <w:pPr>
        <w:overflowPunct w:val="0"/>
        <w:adjustRightInd w:val="0"/>
        <w:spacing w:after="180"/>
        <w:rPr>
          <w:rFonts w:ascii="Times New Roman" w:eastAsia="Malgun Gothic"/>
          <w:szCs w:val="20"/>
          <w:lang w:val="en-GB" w:eastAsia="en-GB"/>
        </w:rPr>
      </w:pPr>
    </w:p>
    <w:sectPr w:rsidR="00B75D36" w:rsidSect="00B47B85">
      <w:footerReference w:type="even" r:id="rId16"/>
      <w:footerReference w:type="default" r:id="rId1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B509C6" w14:textId="77777777" w:rsidR="00963995" w:rsidRDefault="00963995">
      <w:r>
        <w:separator/>
      </w:r>
    </w:p>
  </w:endnote>
  <w:endnote w:type="continuationSeparator" w:id="0">
    <w:p w14:paraId="66ADB307" w14:textId="77777777" w:rsidR="00963995" w:rsidRDefault="00963995">
      <w:r>
        <w:continuationSeparator/>
      </w:r>
    </w:p>
  </w:endnote>
  <w:endnote w:type="continuationNotice" w:id="1">
    <w:p w14:paraId="6C9D232E" w14:textId="77777777" w:rsidR="00963995" w:rsidRDefault="009639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6F548" w14:textId="77777777"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223FF" w:rsidRDefault="005223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F4E41" w14:textId="0E92CC8E"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4ACE">
      <w:rPr>
        <w:rStyle w:val="PageNumber"/>
        <w:noProof/>
      </w:rPr>
      <w:t>1</w:t>
    </w:r>
    <w:r>
      <w:rPr>
        <w:rStyle w:val="PageNumber"/>
      </w:rPr>
      <w:fldChar w:fldCharType="end"/>
    </w:r>
  </w:p>
  <w:p w14:paraId="5BFA00B5" w14:textId="77777777" w:rsidR="005223FF" w:rsidRDefault="005223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403EEC" w14:textId="77777777" w:rsidR="00963995" w:rsidRDefault="00963995">
      <w:r>
        <w:separator/>
      </w:r>
    </w:p>
  </w:footnote>
  <w:footnote w:type="continuationSeparator" w:id="0">
    <w:p w14:paraId="5663526D" w14:textId="77777777" w:rsidR="00963995" w:rsidRDefault="00963995">
      <w:r>
        <w:continuationSeparator/>
      </w:r>
    </w:p>
  </w:footnote>
  <w:footnote w:type="continuationNotice" w:id="1">
    <w:p w14:paraId="1F28B002" w14:textId="77777777" w:rsidR="00963995" w:rsidRDefault="0096399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8837E5"/>
    <w:multiLevelType w:val="hybridMultilevel"/>
    <w:tmpl w:val="1682F4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CD13B48"/>
    <w:multiLevelType w:val="hybridMultilevel"/>
    <w:tmpl w:val="BD748304"/>
    <w:lvl w:ilvl="0" w:tplc="33C20D4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BA169F"/>
    <w:multiLevelType w:val="hybridMultilevel"/>
    <w:tmpl w:val="3274D54A"/>
    <w:lvl w:ilvl="0" w:tplc="E6226E12">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E822476"/>
    <w:multiLevelType w:val="hybridMultilevel"/>
    <w:tmpl w:val="14A0C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B1074"/>
    <w:multiLevelType w:val="hybridMultilevel"/>
    <w:tmpl w:val="C0F63476"/>
    <w:lvl w:ilvl="0" w:tplc="E320023E">
      <w:start w:val="1"/>
      <w:numFmt w:val="bullet"/>
      <w:lvlText w:val="•"/>
      <w:lvlJc w:val="left"/>
      <w:pPr>
        <w:tabs>
          <w:tab w:val="num" w:pos="720"/>
        </w:tabs>
        <w:ind w:left="720" w:hanging="360"/>
      </w:pPr>
      <w:rPr>
        <w:rFonts w:ascii="Arial" w:hAnsi="Arial" w:hint="default"/>
      </w:rPr>
    </w:lvl>
    <w:lvl w:ilvl="1" w:tplc="61E85E80">
      <w:start w:val="1305"/>
      <w:numFmt w:val="bullet"/>
      <w:lvlText w:val="–"/>
      <w:lvlJc w:val="left"/>
      <w:pPr>
        <w:tabs>
          <w:tab w:val="num" w:pos="1440"/>
        </w:tabs>
        <w:ind w:left="1440" w:hanging="360"/>
      </w:pPr>
      <w:rPr>
        <w:rFonts w:ascii="Arial" w:hAnsi="Arial" w:hint="default"/>
      </w:rPr>
    </w:lvl>
    <w:lvl w:ilvl="2" w:tplc="BEA433AE">
      <w:start w:val="1305"/>
      <w:numFmt w:val="bullet"/>
      <w:lvlText w:val="•"/>
      <w:lvlJc w:val="left"/>
      <w:pPr>
        <w:tabs>
          <w:tab w:val="num" w:pos="2160"/>
        </w:tabs>
        <w:ind w:left="2160" w:hanging="360"/>
      </w:pPr>
      <w:rPr>
        <w:rFonts w:ascii="Arial" w:hAnsi="Arial" w:hint="default"/>
      </w:rPr>
    </w:lvl>
    <w:lvl w:ilvl="3" w:tplc="0F4C17B4">
      <w:start w:val="1305"/>
      <w:numFmt w:val="bullet"/>
      <w:lvlText w:val="–"/>
      <w:lvlJc w:val="left"/>
      <w:pPr>
        <w:tabs>
          <w:tab w:val="num" w:pos="2880"/>
        </w:tabs>
        <w:ind w:left="2880" w:hanging="360"/>
      </w:pPr>
      <w:rPr>
        <w:rFonts w:ascii="Arial" w:hAnsi="Arial" w:hint="default"/>
      </w:rPr>
    </w:lvl>
    <w:lvl w:ilvl="4" w:tplc="B218EB9E">
      <w:start w:val="1"/>
      <w:numFmt w:val="bullet"/>
      <w:lvlText w:val="•"/>
      <w:lvlJc w:val="left"/>
      <w:pPr>
        <w:tabs>
          <w:tab w:val="num" w:pos="3600"/>
        </w:tabs>
        <w:ind w:left="3600" w:hanging="360"/>
      </w:pPr>
      <w:rPr>
        <w:rFonts w:ascii="Arial" w:hAnsi="Arial" w:hint="default"/>
      </w:rPr>
    </w:lvl>
    <w:lvl w:ilvl="5" w:tplc="CF4666B6" w:tentative="1">
      <w:start w:val="1"/>
      <w:numFmt w:val="bullet"/>
      <w:lvlText w:val="•"/>
      <w:lvlJc w:val="left"/>
      <w:pPr>
        <w:tabs>
          <w:tab w:val="num" w:pos="4320"/>
        </w:tabs>
        <w:ind w:left="4320" w:hanging="360"/>
      </w:pPr>
      <w:rPr>
        <w:rFonts w:ascii="Arial" w:hAnsi="Arial" w:hint="default"/>
      </w:rPr>
    </w:lvl>
    <w:lvl w:ilvl="6" w:tplc="BBB8323C" w:tentative="1">
      <w:start w:val="1"/>
      <w:numFmt w:val="bullet"/>
      <w:lvlText w:val="•"/>
      <w:lvlJc w:val="left"/>
      <w:pPr>
        <w:tabs>
          <w:tab w:val="num" w:pos="5040"/>
        </w:tabs>
        <w:ind w:left="5040" w:hanging="360"/>
      </w:pPr>
      <w:rPr>
        <w:rFonts w:ascii="Arial" w:hAnsi="Arial" w:hint="default"/>
      </w:rPr>
    </w:lvl>
    <w:lvl w:ilvl="7" w:tplc="B0CAB7B2" w:tentative="1">
      <w:start w:val="1"/>
      <w:numFmt w:val="bullet"/>
      <w:lvlText w:val="•"/>
      <w:lvlJc w:val="left"/>
      <w:pPr>
        <w:tabs>
          <w:tab w:val="num" w:pos="5760"/>
        </w:tabs>
        <w:ind w:left="5760" w:hanging="360"/>
      </w:pPr>
      <w:rPr>
        <w:rFonts w:ascii="Arial" w:hAnsi="Arial" w:hint="default"/>
      </w:rPr>
    </w:lvl>
    <w:lvl w:ilvl="8" w:tplc="A7A603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D0253AD"/>
    <w:multiLevelType w:val="hybridMultilevel"/>
    <w:tmpl w:val="A0B60E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182C69"/>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F0552E"/>
    <w:multiLevelType w:val="multilevel"/>
    <w:tmpl w:val="8EAE2AA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013417"/>
    <w:multiLevelType w:val="hybridMultilevel"/>
    <w:tmpl w:val="C34A8994"/>
    <w:lvl w:ilvl="0" w:tplc="A2D66706">
      <w:numFmt w:val="bullet"/>
      <w:lvlText w:val="-"/>
      <w:lvlJc w:val="left"/>
      <w:pPr>
        <w:ind w:left="720" w:hanging="360"/>
      </w:pPr>
      <w:rPr>
        <w:rFonts w:ascii="Times New Roman" w:eastAsia="Batang"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AB110D"/>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3338B0"/>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467B2A"/>
    <w:multiLevelType w:val="hybridMultilevel"/>
    <w:tmpl w:val="262A9C02"/>
    <w:lvl w:ilvl="0" w:tplc="B8866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2F0264"/>
    <w:multiLevelType w:val="hybridMultilevel"/>
    <w:tmpl w:val="D6B095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C15AD5"/>
    <w:multiLevelType w:val="hybridMultilevel"/>
    <w:tmpl w:val="525057D8"/>
    <w:lvl w:ilvl="0" w:tplc="67385B06">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B8692D"/>
    <w:multiLevelType w:val="hybridMultilevel"/>
    <w:tmpl w:val="3CCE2F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7D6A61"/>
    <w:multiLevelType w:val="hybridMultilevel"/>
    <w:tmpl w:val="9CD08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EC65AA"/>
    <w:multiLevelType w:val="hybridMultilevel"/>
    <w:tmpl w:val="F64C7D98"/>
    <w:lvl w:ilvl="0" w:tplc="B886610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516EA6"/>
    <w:multiLevelType w:val="hybridMultilevel"/>
    <w:tmpl w:val="2634FA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47168E"/>
    <w:multiLevelType w:val="hybridMultilevel"/>
    <w:tmpl w:val="AE0ED8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8B3C02"/>
    <w:multiLevelType w:val="hybridMultilevel"/>
    <w:tmpl w:val="A14C6572"/>
    <w:lvl w:ilvl="0" w:tplc="66C89454">
      <w:start w:val="1"/>
      <w:numFmt w:val="bullet"/>
      <w:lvlText w:val="•"/>
      <w:lvlJc w:val="left"/>
      <w:pPr>
        <w:tabs>
          <w:tab w:val="num" w:pos="720"/>
        </w:tabs>
        <w:ind w:left="720" w:hanging="360"/>
      </w:pPr>
      <w:rPr>
        <w:rFonts w:ascii="Arial" w:hAnsi="Arial" w:hint="default"/>
      </w:rPr>
    </w:lvl>
    <w:lvl w:ilvl="1" w:tplc="CC6CC176">
      <w:start w:val="1"/>
      <w:numFmt w:val="bullet"/>
      <w:lvlText w:val="•"/>
      <w:lvlJc w:val="left"/>
      <w:pPr>
        <w:tabs>
          <w:tab w:val="num" w:pos="1440"/>
        </w:tabs>
        <w:ind w:left="1440" w:hanging="360"/>
      </w:pPr>
      <w:rPr>
        <w:rFonts w:ascii="Arial" w:hAnsi="Arial" w:hint="default"/>
      </w:rPr>
    </w:lvl>
    <w:lvl w:ilvl="2" w:tplc="78F6F59A" w:tentative="1">
      <w:start w:val="1"/>
      <w:numFmt w:val="bullet"/>
      <w:lvlText w:val="•"/>
      <w:lvlJc w:val="left"/>
      <w:pPr>
        <w:tabs>
          <w:tab w:val="num" w:pos="2160"/>
        </w:tabs>
        <w:ind w:left="2160" w:hanging="360"/>
      </w:pPr>
      <w:rPr>
        <w:rFonts w:ascii="Arial" w:hAnsi="Arial" w:hint="default"/>
      </w:rPr>
    </w:lvl>
    <w:lvl w:ilvl="3" w:tplc="DF869E94" w:tentative="1">
      <w:start w:val="1"/>
      <w:numFmt w:val="bullet"/>
      <w:lvlText w:val="•"/>
      <w:lvlJc w:val="left"/>
      <w:pPr>
        <w:tabs>
          <w:tab w:val="num" w:pos="2880"/>
        </w:tabs>
        <w:ind w:left="2880" w:hanging="360"/>
      </w:pPr>
      <w:rPr>
        <w:rFonts w:ascii="Arial" w:hAnsi="Arial" w:hint="default"/>
      </w:rPr>
    </w:lvl>
    <w:lvl w:ilvl="4" w:tplc="FA22A94A" w:tentative="1">
      <w:start w:val="1"/>
      <w:numFmt w:val="bullet"/>
      <w:lvlText w:val="•"/>
      <w:lvlJc w:val="left"/>
      <w:pPr>
        <w:tabs>
          <w:tab w:val="num" w:pos="3600"/>
        </w:tabs>
        <w:ind w:left="3600" w:hanging="360"/>
      </w:pPr>
      <w:rPr>
        <w:rFonts w:ascii="Arial" w:hAnsi="Arial" w:hint="default"/>
      </w:rPr>
    </w:lvl>
    <w:lvl w:ilvl="5" w:tplc="18720D26" w:tentative="1">
      <w:start w:val="1"/>
      <w:numFmt w:val="bullet"/>
      <w:lvlText w:val="•"/>
      <w:lvlJc w:val="left"/>
      <w:pPr>
        <w:tabs>
          <w:tab w:val="num" w:pos="4320"/>
        </w:tabs>
        <w:ind w:left="4320" w:hanging="360"/>
      </w:pPr>
      <w:rPr>
        <w:rFonts w:ascii="Arial" w:hAnsi="Arial" w:hint="default"/>
      </w:rPr>
    </w:lvl>
    <w:lvl w:ilvl="6" w:tplc="C4C651C6" w:tentative="1">
      <w:start w:val="1"/>
      <w:numFmt w:val="bullet"/>
      <w:lvlText w:val="•"/>
      <w:lvlJc w:val="left"/>
      <w:pPr>
        <w:tabs>
          <w:tab w:val="num" w:pos="5040"/>
        </w:tabs>
        <w:ind w:left="5040" w:hanging="360"/>
      </w:pPr>
      <w:rPr>
        <w:rFonts w:ascii="Arial" w:hAnsi="Arial" w:hint="default"/>
      </w:rPr>
    </w:lvl>
    <w:lvl w:ilvl="7" w:tplc="736C77BE" w:tentative="1">
      <w:start w:val="1"/>
      <w:numFmt w:val="bullet"/>
      <w:lvlText w:val="•"/>
      <w:lvlJc w:val="left"/>
      <w:pPr>
        <w:tabs>
          <w:tab w:val="num" w:pos="5760"/>
        </w:tabs>
        <w:ind w:left="5760" w:hanging="360"/>
      </w:pPr>
      <w:rPr>
        <w:rFonts w:ascii="Arial" w:hAnsi="Arial" w:hint="default"/>
      </w:rPr>
    </w:lvl>
    <w:lvl w:ilvl="8" w:tplc="4882174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3D4150"/>
    <w:multiLevelType w:val="hybridMultilevel"/>
    <w:tmpl w:val="918051B6"/>
    <w:lvl w:ilvl="0" w:tplc="3BE0772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531639B9"/>
    <w:multiLevelType w:val="hybridMultilevel"/>
    <w:tmpl w:val="7C846BC2"/>
    <w:lvl w:ilvl="0" w:tplc="8FF2ADA6">
      <w:start w:val="1"/>
      <w:numFmt w:val="bullet"/>
      <w:lvlText w:val="•"/>
      <w:lvlJc w:val="left"/>
      <w:pPr>
        <w:tabs>
          <w:tab w:val="num" w:pos="720"/>
        </w:tabs>
        <w:ind w:left="720" w:hanging="360"/>
      </w:pPr>
      <w:rPr>
        <w:rFonts w:ascii="Arial" w:hAnsi="Arial" w:hint="default"/>
      </w:rPr>
    </w:lvl>
    <w:lvl w:ilvl="1" w:tplc="692EA68C">
      <w:start w:val="42"/>
      <w:numFmt w:val="bullet"/>
      <w:lvlText w:val="•"/>
      <w:lvlJc w:val="left"/>
      <w:pPr>
        <w:tabs>
          <w:tab w:val="num" w:pos="1440"/>
        </w:tabs>
        <w:ind w:left="1440" w:hanging="360"/>
      </w:pPr>
      <w:rPr>
        <w:rFonts w:ascii="Arial" w:hAnsi="Arial" w:hint="default"/>
      </w:rPr>
    </w:lvl>
    <w:lvl w:ilvl="2" w:tplc="C8D07BD2" w:tentative="1">
      <w:start w:val="1"/>
      <w:numFmt w:val="bullet"/>
      <w:lvlText w:val="•"/>
      <w:lvlJc w:val="left"/>
      <w:pPr>
        <w:tabs>
          <w:tab w:val="num" w:pos="2160"/>
        </w:tabs>
        <w:ind w:left="2160" w:hanging="360"/>
      </w:pPr>
      <w:rPr>
        <w:rFonts w:ascii="Arial" w:hAnsi="Arial" w:hint="default"/>
      </w:rPr>
    </w:lvl>
    <w:lvl w:ilvl="3" w:tplc="93F0F57E" w:tentative="1">
      <w:start w:val="1"/>
      <w:numFmt w:val="bullet"/>
      <w:lvlText w:val="•"/>
      <w:lvlJc w:val="left"/>
      <w:pPr>
        <w:tabs>
          <w:tab w:val="num" w:pos="2880"/>
        </w:tabs>
        <w:ind w:left="2880" w:hanging="360"/>
      </w:pPr>
      <w:rPr>
        <w:rFonts w:ascii="Arial" w:hAnsi="Arial" w:hint="default"/>
      </w:rPr>
    </w:lvl>
    <w:lvl w:ilvl="4" w:tplc="A12E11A0" w:tentative="1">
      <w:start w:val="1"/>
      <w:numFmt w:val="bullet"/>
      <w:lvlText w:val="•"/>
      <w:lvlJc w:val="left"/>
      <w:pPr>
        <w:tabs>
          <w:tab w:val="num" w:pos="3600"/>
        </w:tabs>
        <w:ind w:left="3600" w:hanging="360"/>
      </w:pPr>
      <w:rPr>
        <w:rFonts w:ascii="Arial" w:hAnsi="Arial" w:hint="default"/>
      </w:rPr>
    </w:lvl>
    <w:lvl w:ilvl="5" w:tplc="7E6A1044" w:tentative="1">
      <w:start w:val="1"/>
      <w:numFmt w:val="bullet"/>
      <w:lvlText w:val="•"/>
      <w:lvlJc w:val="left"/>
      <w:pPr>
        <w:tabs>
          <w:tab w:val="num" w:pos="4320"/>
        </w:tabs>
        <w:ind w:left="4320" w:hanging="360"/>
      </w:pPr>
      <w:rPr>
        <w:rFonts w:ascii="Arial" w:hAnsi="Arial" w:hint="default"/>
      </w:rPr>
    </w:lvl>
    <w:lvl w:ilvl="6" w:tplc="64462746" w:tentative="1">
      <w:start w:val="1"/>
      <w:numFmt w:val="bullet"/>
      <w:lvlText w:val="•"/>
      <w:lvlJc w:val="left"/>
      <w:pPr>
        <w:tabs>
          <w:tab w:val="num" w:pos="5040"/>
        </w:tabs>
        <w:ind w:left="5040" w:hanging="360"/>
      </w:pPr>
      <w:rPr>
        <w:rFonts w:ascii="Arial" w:hAnsi="Arial" w:hint="default"/>
      </w:rPr>
    </w:lvl>
    <w:lvl w:ilvl="7" w:tplc="03701AAC" w:tentative="1">
      <w:start w:val="1"/>
      <w:numFmt w:val="bullet"/>
      <w:lvlText w:val="•"/>
      <w:lvlJc w:val="left"/>
      <w:pPr>
        <w:tabs>
          <w:tab w:val="num" w:pos="5760"/>
        </w:tabs>
        <w:ind w:left="5760" w:hanging="360"/>
      </w:pPr>
      <w:rPr>
        <w:rFonts w:ascii="Arial" w:hAnsi="Arial" w:hint="default"/>
      </w:rPr>
    </w:lvl>
    <w:lvl w:ilvl="8" w:tplc="96F22E5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BB4507"/>
    <w:multiLevelType w:val="hybridMultilevel"/>
    <w:tmpl w:val="A0A8B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79010C"/>
    <w:multiLevelType w:val="hybridMultilevel"/>
    <w:tmpl w:val="731A0BD0"/>
    <w:lvl w:ilvl="0" w:tplc="7A520C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E597D"/>
    <w:multiLevelType w:val="hybridMultilevel"/>
    <w:tmpl w:val="3BBCF00C"/>
    <w:lvl w:ilvl="0" w:tplc="78FCCC6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FC281F"/>
    <w:multiLevelType w:val="hybridMultilevel"/>
    <w:tmpl w:val="DB96B6E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A966FF"/>
    <w:multiLevelType w:val="hybridMultilevel"/>
    <w:tmpl w:val="1272F0D0"/>
    <w:lvl w:ilvl="0" w:tplc="20C8E322">
      <w:start w:val="1"/>
      <w:numFmt w:val="bullet"/>
      <w:lvlText w:val="•"/>
      <w:lvlJc w:val="left"/>
      <w:pPr>
        <w:tabs>
          <w:tab w:val="num" w:pos="720"/>
        </w:tabs>
        <w:ind w:left="720" w:hanging="360"/>
      </w:pPr>
      <w:rPr>
        <w:rFonts w:ascii="Arial" w:hAnsi="Arial" w:hint="default"/>
      </w:rPr>
    </w:lvl>
    <w:lvl w:ilvl="1" w:tplc="4D60EAEA">
      <w:start w:val="1"/>
      <w:numFmt w:val="bullet"/>
      <w:lvlText w:val="•"/>
      <w:lvlJc w:val="left"/>
      <w:pPr>
        <w:tabs>
          <w:tab w:val="num" w:pos="1440"/>
        </w:tabs>
        <w:ind w:left="1440" w:hanging="360"/>
      </w:pPr>
      <w:rPr>
        <w:rFonts w:ascii="Arial" w:hAnsi="Arial" w:hint="default"/>
      </w:rPr>
    </w:lvl>
    <w:lvl w:ilvl="2" w:tplc="B24C91A4" w:tentative="1">
      <w:start w:val="1"/>
      <w:numFmt w:val="bullet"/>
      <w:lvlText w:val="•"/>
      <w:lvlJc w:val="left"/>
      <w:pPr>
        <w:tabs>
          <w:tab w:val="num" w:pos="2160"/>
        </w:tabs>
        <w:ind w:left="2160" w:hanging="360"/>
      </w:pPr>
      <w:rPr>
        <w:rFonts w:ascii="Arial" w:hAnsi="Arial" w:hint="default"/>
      </w:rPr>
    </w:lvl>
    <w:lvl w:ilvl="3" w:tplc="D1880BF8" w:tentative="1">
      <w:start w:val="1"/>
      <w:numFmt w:val="bullet"/>
      <w:lvlText w:val="•"/>
      <w:lvlJc w:val="left"/>
      <w:pPr>
        <w:tabs>
          <w:tab w:val="num" w:pos="2880"/>
        </w:tabs>
        <w:ind w:left="2880" w:hanging="360"/>
      </w:pPr>
      <w:rPr>
        <w:rFonts w:ascii="Arial" w:hAnsi="Arial" w:hint="default"/>
      </w:rPr>
    </w:lvl>
    <w:lvl w:ilvl="4" w:tplc="8C88D802" w:tentative="1">
      <w:start w:val="1"/>
      <w:numFmt w:val="bullet"/>
      <w:lvlText w:val="•"/>
      <w:lvlJc w:val="left"/>
      <w:pPr>
        <w:tabs>
          <w:tab w:val="num" w:pos="3600"/>
        </w:tabs>
        <w:ind w:left="3600" w:hanging="360"/>
      </w:pPr>
      <w:rPr>
        <w:rFonts w:ascii="Arial" w:hAnsi="Arial" w:hint="default"/>
      </w:rPr>
    </w:lvl>
    <w:lvl w:ilvl="5" w:tplc="831659D4" w:tentative="1">
      <w:start w:val="1"/>
      <w:numFmt w:val="bullet"/>
      <w:lvlText w:val="•"/>
      <w:lvlJc w:val="left"/>
      <w:pPr>
        <w:tabs>
          <w:tab w:val="num" w:pos="4320"/>
        </w:tabs>
        <w:ind w:left="4320" w:hanging="360"/>
      </w:pPr>
      <w:rPr>
        <w:rFonts w:ascii="Arial" w:hAnsi="Arial" w:hint="default"/>
      </w:rPr>
    </w:lvl>
    <w:lvl w:ilvl="6" w:tplc="AC024798" w:tentative="1">
      <w:start w:val="1"/>
      <w:numFmt w:val="bullet"/>
      <w:lvlText w:val="•"/>
      <w:lvlJc w:val="left"/>
      <w:pPr>
        <w:tabs>
          <w:tab w:val="num" w:pos="5040"/>
        </w:tabs>
        <w:ind w:left="5040" w:hanging="360"/>
      </w:pPr>
      <w:rPr>
        <w:rFonts w:ascii="Arial" w:hAnsi="Arial" w:hint="default"/>
      </w:rPr>
    </w:lvl>
    <w:lvl w:ilvl="7" w:tplc="EA601B94" w:tentative="1">
      <w:start w:val="1"/>
      <w:numFmt w:val="bullet"/>
      <w:lvlText w:val="•"/>
      <w:lvlJc w:val="left"/>
      <w:pPr>
        <w:tabs>
          <w:tab w:val="num" w:pos="5760"/>
        </w:tabs>
        <w:ind w:left="5760" w:hanging="360"/>
      </w:pPr>
      <w:rPr>
        <w:rFonts w:ascii="Arial" w:hAnsi="Arial" w:hint="default"/>
      </w:rPr>
    </w:lvl>
    <w:lvl w:ilvl="8" w:tplc="57CA4A2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6D26560"/>
    <w:multiLevelType w:val="hybridMultilevel"/>
    <w:tmpl w:val="AB2C408E"/>
    <w:lvl w:ilvl="0" w:tplc="6BC4C34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C2D36B0"/>
    <w:multiLevelType w:val="hybridMultilevel"/>
    <w:tmpl w:val="CDEA4858"/>
    <w:lvl w:ilvl="0" w:tplc="517EDDA0">
      <w:start w:val="2"/>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2" w15:restartNumberingAfterBreak="0">
    <w:nsid w:val="754D5101"/>
    <w:multiLevelType w:val="hybridMultilevel"/>
    <w:tmpl w:val="98E04CB4"/>
    <w:lvl w:ilvl="0" w:tplc="0B40E66C">
      <w:start w:val="1"/>
      <w:numFmt w:val="decimal"/>
      <w:lvlText w:val="%1."/>
      <w:lvlJc w:val="left"/>
      <w:pPr>
        <w:ind w:left="720" w:hanging="360"/>
      </w:pPr>
      <w:rPr>
        <w:rFonts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D62F9F"/>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9"/>
  </w:num>
  <w:num w:numId="2">
    <w:abstractNumId w:val="6"/>
  </w:num>
  <w:num w:numId="3">
    <w:abstractNumId w:val="23"/>
  </w:num>
  <w:num w:numId="4">
    <w:abstractNumId w:val="35"/>
  </w:num>
  <w:num w:numId="5">
    <w:abstractNumId w:val="36"/>
  </w:num>
  <w:num w:numId="6">
    <w:abstractNumId w:val="13"/>
  </w:num>
  <w:num w:numId="7">
    <w:abstractNumId w:val="18"/>
  </w:num>
  <w:num w:numId="8">
    <w:abstractNumId w:val="4"/>
  </w:num>
  <w:num w:numId="9">
    <w:abstractNumId w:val="29"/>
  </w:num>
  <w:num w:numId="10">
    <w:abstractNumId w:val="25"/>
  </w:num>
  <w:num w:numId="11">
    <w:abstractNumId w:val="22"/>
  </w:num>
  <w:num w:numId="12">
    <w:abstractNumId w:val="3"/>
  </w:num>
  <w:num w:numId="13">
    <w:abstractNumId w:val="30"/>
  </w:num>
  <w:num w:numId="14">
    <w:abstractNumId w:val="34"/>
  </w:num>
  <w:num w:numId="15">
    <w:abstractNumId w:val="24"/>
  </w:num>
  <w:num w:numId="16">
    <w:abstractNumId w:val="14"/>
  </w:num>
  <w:num w:numId="17">
    <w:abstractNumId w:val="10"/>
  </w:num>
  <w:num w:numId="18">
    <w:abstractNumId w:val="1"/>
  </w:num>
  <w:num w:numId="19">
    <w:abstractNumId w:val="26"/>
  </w:num>
  <w:num w:numId="20">
    <w:abstractNumId w:val="17"/>
  </w:num>
  <w:num w:numId="21">
    <w:abstractNumId w:val="7"/>
  </w:num>
  <w:num w:numId="22">
    <w:abstractNumId w:val="8"/>
  </w:num>
  <w:num w:numId="23">
    <w:abstractNumId w:val="33"/>
  </w:num>
  <w:num w:numId="24">
    <w:abstractNumId w:val="11"/>
  </w:num>
  <w:num w:numId="25">
    <w:abstractNumId w:val="12"/>
  </w:num>
  <w:num w:numId="26">
    <w:abstractNumId w:val="2"/>
  </w:num>
  <w:num w:numId="27">
    <w:abstractNumId w:val="27"/>
  </w:num>
  <w:num w:numId="28">
    <w:abstractNumId w:val="31"/>
  </w:num>
  <w:num w:numId="29">
    <w:abstractNumId w:val="16"/>
  </w:num>
  <w:num w:numId="30">
    <w:abstractNumId w:val="21"/>
  </w:num>
  <w:num w:numId="31">
    <w:abstractNumId w:val="5"/>
  </w:num>
  <w:num w:numId="32">
    <w:abstractNumId w:val="20"/>
  </w:num>
  <w:num w:numId="33">
    <w:abstractNumId w:val="0"/>
  </w:num>
  <w:num w:numId="34">
    <w:abstractNumId w:val="15"/>
  </w:num>
  <w:num w:numId="35">
    <w:abstractNumId w:val="19"/>
  </w:num>
  <w:num w:numId="36">
    <w:abstractNumId w:val="28"/>
  </w:num>
  <w:num w:numId="37">
    <w:abstractNumId w:val="3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71A"/>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5E4E"/>
    <w:rsid w:val="0001612D"/>
    <w:rsid w:val="00016214"/>
    <w:rsid w:val="00016B13"/>
    <w:rsid w:val="00016C8C"/>
    <w:rsid w:val="00016D23"/>
    <w:rsid w:val="00016E42"/>
    <w:rsid w:val="00016EC6"/>
    <w:rsid w:val="00017072"/>
    <w:rsid w:val="000171D8"/>
    <w:rsid w:val="0001751E"/>
    <w:rsid w:val="00017D82"/>
    <w:rsid w:val="0002005A"/>
    <w:rsid w:val="000201E3"/>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B5"/>
    <w:rsid w:val="000310BE"/>
    <w:rsid w:val="000311EE"/>
    <w:rsid w:val="00031216"/>
    <w:rsid w:val="00031578"/>
    <w:rsid w:val="00031619"/>
    <w:rsid w:val="00031C08"/>
    <w:rsid w:val="00031CBE"/>
    <w:rsid w:val="00031D12"/>
    <w:rsid w:val="000323AF"/>
    <w:rsid w:val="00032A32"/>
    <w:rsid w:val="00032D3D"/>
    <w:rsid w:val="00032FB9"/>
    <w:rsid w:val="00033143"/>
    <w:rsid w:val="0003316D"/>
    <w:rsid w:val="000337CB"/>
    <w:rsid w:val="0003388E"/>
    <w:rsid w:val="000338B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62"/>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46F"/>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4ACE"/>
    <w:rsid w:val="000B504F"/>
    <w:rsid w:val="000B56D5"/>
    <w:rsid w:val="000B57E7"/>
    <w:rsid w:val="000B57E9"/>
    <w:rsid w:val="000B598A"/>
    <w:rsid w:val="000B5C84"/>
    <w:rsid w:val="000B5E17"/>
    <w:rsid w:val="000B5E5A"/>
    <w:rsid w:val="000B6ABB"/>
    <w:rsid w:val="000B6E52"/>
    <w:rsid w:val="000B6FD7"/>
    <w:rsid w:val="000B7405"/>
    <w:rsid w:val="000B759D"/>
    <w:rsid w:val="000B763A"/>
    <w:rsid w:val="000B7DE7"/>
    <w:rsid w:val="000B7E66"/>
    <w:rsid w:val="000B7EFD"/>
    <w:rsid w:val="000C03DC"/>
    <w:rsid w:val="000C0751"/>
    <w:rsid w:val="000C0BCF"/>
    <w:rsid w:val="000C0DCB"/>
    <w:rsid w:val="000C0F30"/>
    <w:rsid w:val="000C1030"/>
    <w:rsid w:val="000C1138"/>
    <w:rsid w:val="000C1425"/>
    <w:rsid w:val="000C194B"/>
    <w:rsid w:val="000C1E30"/>
    <w:rsid w:val="000C1E3F"/>
    <w:rsid w:val="000C20E1"/>
    <w:rsid w:val="000C279E"/>
    <w:rsid w:val="000C2BA0"/>
    <w:rsid w:val="000C2E60"/>
    <w:rsid w:val="000C315E"/>
    <w:rsid w:val="000C37FB"/>
    <w:rsid w:val="000C5285"/>
    <w:rsid w:val="000C55A2"/>
    <w:rsid w:val="000C5B2B"/>
    <w:rsid w:val="000C5D1A"/>
    <w:rsid w:val="000C5EB1"/>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1B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6A5"/>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30D"/>
    <w:rsid w:val="00136756"/>
    <w:rsid w:val="00136BCA"/>
    <w:rsid w:val="001370CC"/>
    <w:rsid w:val="001377BE"/>
    <w:rsid w:val="001379E0"/>
    <w:rsid w:val="00137D00"/>
    <w:rsid w:val="001401AD"/>
    <w:rsid w:val="001402D9"/>
    <w:rsid w:val="001403C0"/>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11"/>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2D8"/>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39F"/>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3C1"/>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696"/>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50"/>
    <w:rsid w:val="001E0FBD"/>
    <w:rsid w:val="001E194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22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1F7D5B"/>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88"/>
    <w:rsid w:val="002143AF"/>
    <w:rsid w:val="00214911"/>
    <w:rsid w:val="00214F4B"/>
    <w:rsid w:val="002152B8"/>
    <w:rsid w:val="00215AB1"/>
    <w:rsid w:val="00215C37"/>
    <w:rsid w:val="0021633E"/>
    <w:rsid w:val="00216559"/>
    <w:rsid w:val="002165B0"/>
    <w:rsid w:val="0021696A"/>
    <w:rsid w:val="00216BB5"/>
    <w:rsid w:val="00216C93"/>
    <w:rsid w:val="00216F55"/>
    <w:rsid w:val="00216FCA"/>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54"/>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184"/>
    <w:rsid w:val="002A43EC"/>
    <w:rsid w:val="002A476A"/>
    <w:rsid w:val="002A48B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E80"/>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204"/>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AC1"/>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407"/>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22"/>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457"/>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869"/>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0ED"/>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5FA"/>
    <w:rsid w:val="00424762"/>
    <w:rsid w:val="00424E75"/>
    <w:rsid w:val="004255FF"/>
    <w:rsid w:val="00425C19"/>
    <w:rsid w:val="00425F15"/>
    <w:rsid w:val="004260BE"/>
    <w:rsid w:val="004263B0"/>
    <w:rsid w:val="004265BA"/>
    <w:rsid w:val="004269F0"/>
    <w:rsid w:val="00426B00"/>
    <w:rsid w:val="00426C5F"/>
    <w:rsid w:val="004270FC"/>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4EA8"/>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9D2"/>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A83"/>
    <w:rsid w:val="00501CEE"/>
    <w:rsid w:val="00501E46"/>
    <w:rsid w:val="00502356"/>
    <w:rsid w:val="0050261D"/>
    <w:rsid w:val="00502720"/>
    <w:rsid w:val="00502895"/>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2D41"/>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73C"/>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3FF"/>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58E"/>
    <w:rsid w:val="00561633"/>
    <w:rsid w:val="00561A1F"/>
    <w:rsid w:val="00561BE0"/>
    <w:rsid w:val="00561C3C"/>
    <w:rsid w:val="00561CB4"/>
    <w:rsid w:val="0056207C"/>
    <w:rsid w:val="005621A7"/>
    <w:rsid w:val="00562400"/>
    <w:rsid w:val="00562A56"/>
    <w:rsid w:val="00562BCA"/>
    <w:rsid w:val="00562CB5"/>
    <w:rsid w:val="00562CBA"/>
    <w:rsid w:val="00563203"/>
    <w:rsid w:val="00563632"/>
    <w:rsid w:val="00563CC8"/>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10"/>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A9C"/>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2DE"/>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9EC"/>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1AE7"/>
    <w:rsid w:val="006422C0"/>
    <w:rsid w:val="006428BB"/>
    <w:rsid w:val="00642F88"/>
    <w:rsid w:val="00642FAD"/>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6F4A"/>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4CC"/>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0950"/>
    <w:rsid w:val="006E2691"/>
    <w:rsid w:val="006E28D7"/>
    <w:rsid w:val="006E2BB9"/>
    <w:rsid w:val="006E2C2E"/>
    <w:rsid w:val="006E35A3"/>
    <w:rsid w:val="006E365A"/>
    <w:rsid w:val="006E3BD3"/>
    <w:rsid w:val="006E3DD1"/>
    <w:rsid w:val="006E3DE5"/>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21E"/>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1F"/>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2C91"/>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5B2E"/>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2805"/>
    <w:rsid w:val="0075311D"/>
    <w:rsid w:val="00753C57"/>
    <w:rsid w:val="007543C7"/>
    <w:rsid w:val="0075447C"/>
    <w:rsid w:val="0075448C"/>
    <w:rsid w:val="00754686"/>
    <w:rsid w:val="00754787"/>
    <w:rsid w:val="00754913"/>
    <w:rsid w:val="007550CB"/>
    <w:rsid w:val="007556C0"/>
    <w:rsid w:val="00755BB7"/>
    <w:rsid w:val="00755D8D"/>
    <w:rsid w:val="00756185"/>
    <w:rsid w:val="00756395"/>
    <w:rsid w:val="0075672E"/>
    <w:rsid w:val="00756E25"/>
    <w:rsid w:val="00756ED7"/>
    <w:rsid w:val="00757657"/>
    <w:rsid w:val="00757C59"/>
    <w:rsid w:val="00757D56"/>
    <w:rsid w:val="00757FF1"/>
    <w:rsid w:val="0076031A"/>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AE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1FE2"/>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0EE8"/>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A1C"/>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AC3"/>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095"/>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07"/>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11"/>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3E8"/>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1C79"/>
    <w:rsid w:val="0096207C"/>
    <w:rsid w:val="00962C90"/>
    <w:rsid w:val="0096309F"/>
    <w:rsid w:val="00963268"/>
    <w:rsid w:val="00963995"/>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3BE"/>
    <w:rsid w:val="0097750F"/>
    <w:rsid w:val="009801B1"/>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B09"/>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8CE"/>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138"/>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BC"/>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AD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0F"/>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6B6"/>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840"/>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48"/>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36"/>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5B15"/>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10"/>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23D"/>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6E"/>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4D92"/>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0F9"/>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BA"/>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238"/>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199"/>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3E6"/>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2B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AB3"/>
    <w:rsid w:val="00DF7D69"/>
    <w:rsid w:val="00DF7E66"/>
    <w:rsid w:val="00E00272"/>
    <w:rsid w:val="00E00360"/>
    <w:rsid w:val="00E00C0C"/>
    <w:rsid w:val="00E00E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98A"/>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62E"/>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6BA"/>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081"/>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368"/>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1E6E"/>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94F"/>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342"/>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78A"/>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516"/>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4EE7"/>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2EEF"/>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58F"/>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link w:val="CommentTextChar"/>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EQ">
    <w:name w:val="EQ"/>
    <w:basedOn w:val="Normal"/>
    <w:next w:val="Normal"/>
    <w:rsid w:val="006E3DE5"/>
    <w:pPr>
      <w:keepLines/>
      <w:widowControl/>
      <w:tabs>
        <w:tab w:val="center" w:pos="4536"/>
        <w:tab w:val="right" w:pos="9072"/>
      </w:tabs>
      <w:wordWrap/>
      <w:overflowPunct w:val="0"/>
      <w:adjustRightInd w:val="0"/>
      <w:spacing w:after="180"/>
      <w:jc w:val="left"/>
      <w:textAlignment w:val="baseline"/>
    </w:pPr>
    <w:rPr>
      <w:rFonts w:ascii="Times New Roman" w:eastAsia="Times New Roman"/>
      <w:noProof/>
      <w:kern w:val="0"/>
      <w:szCs w:val="20"/>
      <w:lang w:val="en-GB" w:eastAsia="en-GB"/>
    </w:rPr>
  </w:style>
  <w:style w:type="character" w:customStyle="1" w:styleId="CommentTextChar">
    <w:name w:val="Comment Text Char"/>
    <w:basedOn w:val="DefaultParagraphFont"/>
    <w:link w:val="CommentText"/>
    <w:semiHidden/>
    <w:rsid w:val="00371822"/>
    <w:rPr>
      <w:rFonts w:ascii="Batang"/>
      <w:kern w:val="2"/>
      <w:szCs w:val="24"/>
      <w:lang w:eastAsia="ko-KR"/>
    </w:rPr>
  </w:style>
  <w:style w:type="table" w:styleId="GridTable1Light">
    <w:name w:val="Grid Table 1 Light"/>
    <w:basedOn w:val="TableNormal"/>
    <w:uiPriority w:val="46"/>
    <w:rsid w:val="001F7D5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1F7D5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dnoteText">
    <w:name w:val="endnote text"/>
    <w:basedOn w:val="Normal"/>
    <w:link w:val="EndnoteTextChar"/>
    <w:rsid w:val="000C5EB1"/>
    <w:rPr>
      <w:szCs w:val="20"/>
    </w:rPr>
  </w:style>
  <w:style w:type="character" w:customStyle="1" w:styleId="EndnoteTextChar">
    <w:name w:val="Endnote Text Char"/>
    <w:basedOn w:val="DefaultParagraphFont"/>
    <w:link w:val="EndnoteText"/>
    <w:rsid w:val="000C5EB1"/>
    <w:rPr>
      <w:rFonts w:ascii="Batang"/>
      <w:kern w:val="2"/>
      <w:lang w:eastAsia="ko-KR"/>
    </w:rPr>
  </w:style>
  <w:style w:type="character" w:styleId="EndnoteReference">
    <w:name w:val="endnote reference"/>
    <w:basedOn w:val="DefaultParagraphFont"/>
    <w:rsid w:val="000C5E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1824">
      <w:bodyDiv w:val="1"/>
      <w:marLeft w:val="0"/>
      <w:marRight w:val="0"/>
      <w:marTop w:val="0"/>
      <w:marBottom w:val="0"/>
      <w:divBdr>
        <w:top w:val="none" w:sz="0" w:space="0" w:color="auto"/>
        <w:left w:val="none" w:sz="0" w:space="0" w:color="auto"/>
        <w:bottom w:val="none" w:sz="0" w:space="0" w:color="auto"/>
        <w:right w:val="none" w:sz="0" w:space="0" w:color="auto"/>
      </w:divBdr>
    </w:div>
    <w:div w:id="21980578">
      <w:bodyDiv w:val="1"/>
      <w:marLeft w:val="0"/>
      <w:marRight w:val="0"/>
      <w:marTop w:val="0"/>
      <w:marBottom w:val="0"/>
      <w:divBdr>
        <w:top w:val="none" w:sz="0" w:space="0" w:color="auto"/>
        <w:left w:val="none" w:sz="0" w:space="0" w:color="auto"/>
        <w:bottom w:val="none" w:sz="0" w:space="0" w:color="auto"/>
        <w:right w:val="none" w:sz="0" w:space="0" w:color="auto"/>
      </w:divBdr>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28206661">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53644607">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49893545">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6645682">
      <w:bodyDiv w:val="1"/>
      <w:marLeft w:val="0"/>
      <w:marRight w:val="0"/>
      <w:marTop w:val="0"/>
      <w:marBottom w:val="0"/>
      <w:divBdr>
        <w:top w:val="none" w:sz="0" w:space="0" w:color="auto"/>
        <w:left w:val="none" w:sz="0" w:space="0" w:color="auto"/>
        <w:bottom w:val="none" w:sz="0" w:space="0" w:color="auto"/>
        <w:right w:val="none" w:sz="0" w:space="0" w:color="auto"/>
      </w:divBdr>
    </w:div>
    <w:div w:id="283197002">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4479740">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66487104">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685154">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36393261">
      <w:bodyDiv w:val="1"/>
      <w:marLeft w:val="0"/>
      <w:marRight w:val="0"/>
      <w:marTop w:val="0"/>
      <w:marBottom w:val="0"/>
      <w:divBdr>
        <w:top w:val="none" w:sz="0" w:space="0" w:color="auto"/>
        <w:left w:val="none" w:sz="0" w:space="0" w:color="auto"/>
        <w:bottom w:val="none" w:sz="0" w:space="0" w:color="auto"/>
        <w:right w:val="none" w:sz="0" w:space="0" w:color="auto"/>
      </w:divBdr>
    </w:div>
    <w:div w:id="741440901">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2846905">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2830512">
      <w:bodyDiv w:val="1"/>
      <w:marLeft w:val="0"/>
      <w:marRight w:val="0"/>
      <w:marTop w:val="0"/>
      <w:marBottom w:val="0"/>
      <w:divBdr>
        <w:top w:val="none" w:sz="0" w:space="0" w:color="auto"/>
        <w:left w:val="none" w:sz="0" w:space="0" w:color="auto"/>
        <w:bottom w:val="none" w:sz="0" w:space="0" w:color="auto"/>
        <w:right w:val="none" w:sz="0" w:space="0" w:color="auto"/>
      </w:divBdr>
    </w:div>
    <w:div w:id="916861664">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3587166">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400852">
      <w:bodyDiv w:val="1"/>
      <w:marLeft w:val="0"/>
      <w:marRight w:val="0"/>
      <w:marTop w:val="0"/>
      <w:marBottom w:val="0"/>
      <w:divBdr>
        <w:top w:val="none" w:sz="0" w:space="0" w:color="auto"/>
        <w:left w:val="none" w:sz="0" w:space="0" w:color="auto"/>
        <w:bottom w:val="none" w:sz="0" w:space="0" w:color="auto"/>
        <w:right w:val="none" w:sz="0" w:space="0" w:color="auto"/>
      </w:divBdr>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4454328">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3551414">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505138">
      <w:bodyDiv w:val="1"/>
      <w:marLeft w:val="0"/>
      <w:marRight w:val="0"/>
      <w:marTop w:val="0"/>
      <w:marBottom w:val="0"/>
      <w:divBdr>
        <w:top w:val="none" w:sz="0" w:space="0" w:color="auto"/>
        <w:left w:val="none" w:sz="0" w:space="0" w:color="auto"/>
        <w:bottom w:val="none" w:sz="0" w:space="0" w:color="auto"/>
        <w:right w:val="none" w:sz="0" w:space="0" w:color="auto"/>
      </w:divBdr>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0850456">
      <w:bodyDiv w:val="1"/>
      <w:marLeft w:val="0"/>
      <w:marRight w:val="0"/>
      <w:marTop w:val="0"/>
      <w:marBottom w:val="0"/>
      <w:divBdr>
        <w:top w:val="none" w:sz="0" w:space="0" w:color="auto"/>
        <w:left w:val="none" w:sz="0" w:space="0" w:color="auto"/>
        <w:bottom w:val="none" w:sz="0" w:space="0" w:color="auto"/>
        <w:right w:val="none" w:sz="0" w:space="0" w:color="auto"/>
      </w:divBdr>
    </w:div>
    <w:div w:id="1847937800">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54956796">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611073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5ACTRJNS4X5K-3-3453</_dlc_DocId>
    <_dlc_DocIdUrl xmlns="09bf1062-b00c-4aa1-ba18-87ca9e63a56e">
      <Url>https://projects.qualcomm.com/sites/espresso/_layouts/15/DocIdRedir.aspx?ID=5ACTRJNS4X5K-3-3453</Url>
      <Description>5ACTRJNS4X5K-3-3453</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6434E7-065A-41E7-BEC3-FDF83E4C53B7}">
  <ds:schemaRefs>
    <ds:schemaRef ds:uri="office.server.policy"/>
  </ds:schemaRefs>
</ds:datastoreItem>
</file>

<file path=customXml/itemProps6.xml><?xml version="1.0" encoding="utf-8"?>
<ds:datastoreItem xmlns:ds="http://schemas.openxmlformats.org/officeDocument/2006/customXml" ds:itemID="{E45CA6C4-1118-419A-AC76-A85FB7E138C8}">
  <ds:schemaRefs>
    <ds:schemaRef ds:uri="http://schemas.openxmlformats.org/officeDocument/2006/bibliography"/>
  </ds:schemaRefs>
</ds:datastoreItem>
</file>

<file path=customXml/itemProps7.xml><?xml version="1.0" encoding="utf-8"?>
<ds:datastoreItem xmlns:ds="http://schemas.openxmlformats.org/officeDocument/2006/customXml" ds:itemID="{EA20C7A7-1E19-4162-8691-E028C95DF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488</TotalTime>
  <Pages>3</Pages>
  <Words>882</Words>
  <Characters>5029</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5900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Alberto Rico Alvarino</cp:lastModifiedBy>
  <cp:revision>17</cp:revision>
  <cp:lastPrinted>2010-08-13T21:54:00Z</cp:lastPrinted>
  <dcterms:created xsi:type="dcterms:W3CDTF">2017-04-28T00:02:00Z</dcterms:created>
  <dcterms:modified xsi:type="dcterms:W3CDTF">2017-08-12T00:09:00Z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1500184171</vt:i4>
  </property>
  <property fmtid="{D5CDD505-2E9C-101B-9397-08002B2CF9AE}" pid="3" name="_NewReviewCycle">
    <vt:lpwstr/>
  </property>
  <property fmtid="{D5CDD505-2E9C-101B-9397-08002B2CF9AE}" pid="4" name="_EmailSubject">
    <vt:lpwstr>SRS contributions</vt:lpwstr>
  </property>
  <property fmtid="{D5CDD505-2E9C-101B-9397-08002B2CF9AE}" pid="5" name="_AuthorEmail">
    <vt:lpwstr>albertor@qti.qualcomm.com</vt:lpwstr>
  </property>
  <property fmtid="{D5CDD505-2E9C-101B-9397-08002B2CF9AE}" pid="6" name="_AuthorEmailDisplayName">
    <vt:lpwstr>Rico Alvarino, Alberto</vt:lpwstr>
  </property>
  <property fmtid="{D5CDD505-2E9C-101B-9397-08002B2CF9AE}" pid="7" name="ContentTypeId">
    <vt:lpwstr>0x0101008A98423170284BEEB635F43C3CF4E98B008B3A1EAE7955594BB5B58FB10F3F7793</vt:lpwstr>
  </property>
  <property fmtid="{D5CDD505-2E9C-101B-9397-08002B2CF9AE}" pid="8" name="_dlc_DocIdItemGuid">
    <vt:lpwstr>1da647db-d108-4980-875b-9c60554d8921</vt:lpwstr>
  </property>
  <property fmtid="{D5CDD505-2E9C-101B-9397-08002B2CF9AE}" pid="9" name="_PreviousAdHocReviewCycleID">
    <vt:i4>-624271560</vt:i4>
  </property>
  <property fmtid="{D5CDD505-2E9C-101B-9397-08002B2CF9AE}" pid="10" name="_ReviewingToolsShownOnce">
    <vt:lpwstr/>
  </property>
</Properties>
</file>